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1743"/>
        <w:gridCol w:w="7517"/>
      </w:tblGrid>
      <w:tr w:rsidR="00FF4E4A" w:rsidRPr="00BE1EA5" w14:paraId="1A76CF81" w14:textId="77777777" w:rsidTr="00FF4E4A">
        <w:trPr>
          <w:trHeight w:val="67"/>
        </w:trPr>
        <w:tc>
          <w:tcPr>
            <w:tcW w:w="941" w:type="pct"/>
            <w:shd w:val="clear" w:color="auto" w:fill="DBE5F1" w:themeFill="accent1" w:themeFillTint="33"/>
          </w:tcPr>
          <w:p w14:paraId="6A6A0D36" w14:textId="77777777" w:rsidR="00FF4E4A" w:rsidRPr="003600F1" w:rsidRDefault="00FF4E4A" w:rsidP="00212804">
            <w:r w:rsidRPr="003600F1">
              <w:t>Template guidance</w:t>
            </w:r>
          </w:p>
        </w:tc>
        <w:tc>
          <w:tcPr>
            <w:tcW w:w="4059" w:type="pct"/>
          </w:tcPr>
          <w:p w14:paraId="0189B1CE" w14:textId="36CEF679" w:rsidR="00FF4E4A" w:rsidRPr="00BE1EA5" w:rsidRDefault="007612CC" w:rsidP="00212804">
            <w:pPr>
              <w:rPr>
                <w:sz w:val="20"/>
                <w:szCs w:val="20"/>
              </w:rPr>
            </w:pPr>
            <w:hyperlink r:id="rId8" w:history="1">
              <w:r w:rsidRPr="00A60640">
                <w:rPr>
                  <w:rStyle w:val="Hyperlink"/>
                  <w:rFonts w:eastAsiaTheme="minorHAnsi"/>
                  <w:color w:val="0703BD"/>
                </w:rPr>
                <w:t>Recommended Template</w:t>
              </w:r>
            </w:hyperlink>
          </w:p>
        </w:tc>
      </w:tr>
      <w:tr w:rsidR="00FF4E4A" w:rsidRPr="00BE1EA5" w14:paraId="51B9397D" w14:textId="77777777" w:rsidTr="00FF4E4A">
        <w:trPr>
          <w:trHeight w:val="546"/>
        </w:trPr>
        <w:tc>
          <w:tcPr>
            <w:tcW w:w="941" w:type="pct"/>
            <w:shd w:val="clear" w:color="auto" w:fill="DBE5F1" w:themeFill="accent1" w:themeFillTint="33"/>
          </w:tcPr>
          <w:p w14:paraId="5B034D06" w14:textId="77777777" w:rsidR="00FF4E4A" w:rsidRPr="003600F1" w:rsidRDefault="00FF4E4A" w:rsidP="00212804">
            <w:r w:rsidRPr="003600F1">
              <w:t>Style guide</w:t>
            </w:r>
          </w:p>
        </w:tc>
        <w:tc>
          <w:tcPr>
            <w:tcW w:w="4059" w:type="pct"/>
          </w:tcPr>
          <w:p w14:paraId="28AEB742" w14:textId="4E5040DE" w:rsidR="00FF4E4A" w:rsidRPr="00BE1EA5" w:rsidRDefault="007612CC" w:rsidP="00212804">
            <w:pPr>
              <w:rPr>
                <w:sz w:val="20"/>
                <w:szCs w:val="20"/>
              </w:rPr>
            </w:pPr>
            <w:hyperlink r:id="rId9" w:history="1">
              <w:r w:rsidRPr="00A60640">
                <w:rPr>
                  <w:rStyle w:val="Hyperlink"/>
                  <w:rFonts w:eastAsiaTheme="minorHAnsi"/>
                  <w:color w:val="0703BD"/>
                </w:rPr>
                <w:t>Style Guidance</w:t>
              </w:r>
            </w:hyperlink>
          </w:p>
        </w:tc>
      </w:tr>
      <w:tr w:rsidR="00FF4E4A" w:rsidRPr="00BE1EA5" w14:paraId="61207181" w14:textId="77777777" w:rsidTr="00FF4E4A">
        <w:trPr>
          <w:trHeight w:val="546"/>
        </w:trPr>
        <w:tc>
          <w:tcPr>
            <w:tcW w:w="941" w:type="pct"/>
            <w:tcBorders>
              <w:bottom w:val="single" w:sz="4" w:space="0" w:color="DDD9C3"/>
            </w:tcBorders>
            <w:shd w:val="clear" w:color="auto" w:fill="DBE5F1" w:themeFill="accent1" w:themeFillTint="33"/>
          </w:tcPr>
          <w:p w14:paraId="49DF5A6F" w14:textId="77777777" w:rsidR="00FF4E4A" w:rsidRPr="003600F1" w:rsidRDefault="00FF4E4A" w:rsidP="00212804">
            <w:r w:rsidRPr="003600F1">
              <w:t>Breadcrumb</w:t>
            </w:r>
          </w:p>
        </w:tc>
        <w:tc>
          <w:tcPr>
            <w:tcW w:w="4059" w:type="pct"/>
            <w:tcBorders>
              <w:bottom w:val="single" w:sz="4" w:space="0" w:color="DDD9C3"/>
            </w:tcBorders>
            <w:shd w:val="clear" w:color="auto" w:fill="F9F9F9"/>
          </w:tcPr>
          <w:p w14:paraId="189D2EFD" w14:textId="0175DB09" w:rsidR="00FF4E4A" w:rsidRPr="009F5A99" w:rsidRDefault="00FF4E4A" w:rsidP="00212804">
            <w:pPr>
              <w:rPr>
                <w:color w:val="F2F2F2" w:themeColor="background1" w:themeShade="F2"/>
              </w:rPr>
            </w:pPr>
            <w:hyperlink r:id="rId10" w:history="1">
              <w:r w:rsidRPr="00046EB9">
                <w:rPr>
                  <w:rStyle w:val="Hyperlink"/>
                </w:rPr>
                <w:t>Home</w:t>
              </w:r>
            </w:hyperlink>
            <w:r w:rsidRPr="00A85CDE">
              <w:t xml:space="preserve">  &gt; </w:t>
            </w:r>
            <w:hyperlink r:id="rId11" w:history="1">
              <w:r w:rsidRPr="00046EB9">
                <w:rPr>
                  <w:rStyle w:val="Hyperlink"/>
                </w:rPr>
                <w:t>Publications</w:t>
              </w:r>
            </w:hyperlink>
            <w:r w:rsidRPr="00A85CDE">
              <w:t xml:space="preserve"> &gt; </w:t>
            </w:r>
            <w:hyperlink r:id="rId12" w:history="1">
              <w:r w:rsidRPr="00046EB9">
                <w:rPr>
                  <w:rStyle w:val="Hyperlink"/>
                </w:rPr>
                <w:t>Departmental memoranda</w:t>
              </w:r>
            </w:hyperlink>
            <w:r w:rsidRPr="00A85CDE">
              <w:t xml:space="preserve"> &gt; </w:t>
            </w:r>
            <w:hyperlink r:id="rId13" w:history="1">
              <w:r w:rsidR="00046EB9" w:rsidRPr="00046EB9">
                <w:rPr>
                  <w:rStyle w:val="Hyperlink"/>
                </w:rPr>
                <w:t>D10</w:t>
              </w:r>
            </w:hyperlink>
          </w:p>
        </w:tc>
      </w:tr>
    </w:tbl>
    <w:p w14:paraId="34AF5AA6" w14:textId="68F7712A" w:rsidR="00FF4E4A" w:rsidRPr="00BE1EA5" w:rsidRDefault="00FF4E4A" w:rsidP="004C21AF">
      <w:pPr>
        <w:pStyle w:val="Heading1"/>
      </w:pPr>
      <w:r w:rsidRPr="008A7944">
        <w:t xml:space="preserve">Memorandum </w:t>
      </w:r>
      <w:r w:rsidR="00785C38" w:rsidRPr="00785C38">
        <w:t>D10-15-28</w:t>
      </w:r>
      <w:r w:rsidR="00785C38">
        <w:t xml:space="preserve"> - </w:t>
      </w:r>
      <w:r w:rsidR="00785C38" w:rsidRPr="00785C38">
        <w:t>Tariff Classification of Footwear, Covering the Ankle</w:t>
      </w:r>
    </w:p>
    <w:p w14:paraId="463564A7" w14:textId="77777777" w:rsidR="00FF4E4A" w:rsidRPr="009D656D" w:rsidRDefault="00FF4E4A" w:rsidP="00212804">
      <w:r w:rsidRPr="009D656D">
        <w:t>ISSN 2369-2391</w:t>
      </w:r>
    </w:p>
    <w:p w14:paraId="0963260D" w14:textId="6C074C0C" w:rsidR="00FF4E4A" w:rsidRPr="009D656D" w:rsidRDefault="00FF4E4A" w:rsidP="00212804">
      <w:r w:rsidRPr="009D656D">
        <w:t xml:space="preserve">Ottawa, </w:t>
      </w:r>
      <w:r w:rsidR="00D43AF6" w:rsidRPr="00D43AF6">
        <w:t>month day, year</w:t>
      </w:r>
    </w:p>
    <w:p w14:paraId="3BB769DC" w14:textId="34DB91BD" w:rsidR="00FF4E4A" w:rsidRPr="009D656D" w:rsidRDefault="00FF4E4A" w:rsidP="00212804">
      <w:pPr>
        <w:rPr>
          <w:lang w:val="en"/>
        </w:rPr>
      </w:pPr>
      <w:r w:rsidRPr="009D656D">
        <w:rPr>
          <w:lang w:val="en"/>
        </w:rPr>
        <w:t xml:space="preserve">This document is also available in </w:t>
      </w:r>
      <w:hyperlink r:id="rId14" w:history="1">
        <w:r w:rsidRPr="00785C38">
          <w:rPr>
            <w:rStyle w:val="Hyperlink"/>
            <w:rFonts w:eastAsiaTheme="minorHAnsi"/>
            <w:lang w:val="en"/>
          </w:rPr>
          <w:t>PDF (</w:t>
        </w:r>
        <w:r w:rsidR="00785C38" w:rsidRPr="00785C38">
          <w:rPr>
            <w:rStyle w:val="Hyperlink"/>
            <w:rFonts w:eastAsiaTheme="minorHAnsi"/>
            <w:lang w:val="en"/>
          </w:rPr>
          <w:t>701</w:t>
        </w:r>
        <w:r w:rsidRPr="00785C38">
          <w:rPr>
            <w:rStyle w:val="Hyperlink"/>
            <w:rFonts w:eastAsiaTheme="minorHAnsi"/>
            <w:lang w:val="en"/>
          </w:rPr>
          <w:t> KB)</w:t>
        </w:r>
      </w:hyperlink>
      <w:r w:rsidRPr="009D656D">
        <w:rPr>
          <w:lang w:val="en"/>
        </w:rPr>
        <w:t xml:space="preserve"> </w:t>
      </w:r>
    </w:p>
    <w:p w14:paraId="0664EC0D" w14:textId="77777777" w:rsidR="00FF4E4A" w:rsidRPr="009D656D" w:rsidRDefault="00FF4E4A" w:rsidP="00212804"/>
    <w:p w14:paraId="7B5BAE9E" w14:textId="1AEC196D" w:rsidR="00452BCF" w:rsidRDefault="00F95203" w:rsidP="00212804">
      <w:r w:rsidRPr="00F95203">
        <w:rPr>
          <w:rStyle w:val="Heading2Char"/>
        </w:rPr>
        <w:t>Plain language summary</w:t>
      </w:r>
    </w:p>
    <w:p w14:paraId="6516852C" w14:textId="77777777" w:rsidR="00785C38" w:rsidRDefault="00785C38" w:rsidP="00212804">
      <w:pPr>
        <w:rPr>
          <w:b/>
        </w:rPr>
      </w:pPr>
    </w:p>
    <w:p w14:paraId="0CB53B21" w14:textId="481FFD39" w:rsidR="008D043F" w:rsidRPr="00F365DE" w:rsidRDefault="008D043F" w:rsidP="007612CC">
      <w:pPr>
        <w:rPr>
          <w:b/>
          <w:lang w:val="en-CA"/>
        </w:rPr>
      </w:pPr>
      <w:r>
        <w:rPr>
          <w:b/>
        </w:rPr>
        <w:t>Targeted audience:</w:t>
      </w:r>
      <w:r w:rsidR="0059263E" w:rsidRPr="009F13C7">
        <w:rPr>
          <w:bCs/>
        </w:rPr>
        <w:t xml:space="preserve"> </w:t>
      </w:r>
      <w:r w:rsidR="009F13C7" w:rsidRPr="009F13C7">
        <w:rPr>
          <w:bCs/>
        </w:rPr>
        <w:t xml:space="preserve">importers of </w:t>
      </w:r>
      <w:r w:rsidR="00F365DE" w:rsidRPr="00F365DE">
        <w:rPr>
          <w:bCs/>
        </w:rPr>
        <w:t>commercial goods</w:t>
      </w:r>
    </w:p>
    <w:p w14:paraId="0BAE68F9" w14:textId="2704F0FA" w:rsidR="00452BCF" w:rsidRDefault="00452BCF" w:rsidP="007612CC">
      <w:r>
        <w:rPr>
          <w:b/>
        </w:rPr>
        <w:t>Key content:</w:t>
      </w:r>
      <w:r>
        <w:t xml:space="preserve"> </w:t>
      </w:r>
      <w:r w:rsidR="009F13C7">
        <w:t xml:space="preserve">Provides an </w:t>
      </w:r>
      <w:r w:rsidR="009F13C7" w:rsidRPr="009F13C7">
        <w:t>outline</w:t>
      </w:r>
      <w:r w:rsidR="009F13C7">
        <w:t xml:space="preserve"> of</w:t>
      </w:r>
      <w:r w:rsidR="009F13C7" w:rsidRPr="009F13C7">
        <w:t xml:space="preserve"> the CBSA’s administrative tariff classification policy of footwear, covering the ankle.</w:t>
      </w:r>
    </w:p>
    <w:p w14:paraId="68C05B01" w14:textId="2A37E322" w:rsidR="00FF4E4A" w:rsidRPr="00C36FBF" w:rsidRDefault="00452BCF" w:rsidP="00212804">
      <w:pPr>
        <w:rPr>
          <w:b/>
        </w:rPr>
      </w:pPr>
      <w:r>
        <w:rPr>
          <w:b/>
        </w:rPr>
        <w:t>Keywords:</w:t>
      </w:r>
      <w:r>
        <w:t xml:space="preserve"> </w:t>
      </w:r>
      <w:r w:rsidR="0059263E">
        <w:t xml:space="preserve">footwear, </w:t>
      </w:r>
      <w:r w:rsidR="00C7561B">
        <w:t xml:space="preserve">shoes, boots, </w:t>
      </w:r>
      <w:r w:rsidR="0059263E">
        <w:t>ankle, covering the ankle</w:t>
      </w:r>
    </w:p>
    <w:p w14:paraId="36701C9E" w14:textId="77777777" w:rsidR="00FF4E4A" w:rsidRPr="00BE1EA5" w:rsidRDefault="00FF4E4A" w:rsidP="00212804">
      <w:pPr>
        <w:pStyle w:val="Heading2"/>
      </w:pPr>
      <w:r w:rsidRPr="00BE1EA5">
        <w:t xml:space="preserve">On this page  </w:t>
      </w:r>
    </w:p>
    <w:p w14:paraId="4611EB21" w14:textId="65649898" w:rsidR="00FF4E4A" w:rsidRPr="00B21AAA" w:rsidRDefault="00B21AAA" w:rsidP="00C266EA">
      <w:pPr>
        <w:pStyle w:val="ListParagraph"/>
        <w:numPr>
          <w:ilvl w:val="0"/>
          <w:numId w:val="28"/>
        </w:numPr>
        <w:rPr>
          <w:rStyle w:val="Hyperlink"/>
        </w:rPr>
      </w:pPr>
      <w:r>
        <w:fldChar w:fldCharType="begin"/>
      </w:r>
      <w:r>
        <w:instrText>HYPERLINK  \l "_Subheading_use_Heading"</w:instrText>
      </w:r>
      <w:r>
        <w:fldChar w:fldCharType="separate"/>
      </w:r>
      <w:r w:rsidR="00FF4E4A" w:rsidRPr="00B21AAA">
        <w:rPr>
          <w:rStyle w:val="Hyperlink"/>
        </w:rPr>
        <w:t>Updates made to this D-memo</w:t>
      </w:r>
      <w:r w:rsidR="00C266EA" w:rsidRPr="00B21AAA">
        <w:rPr>
          <w:rStyle w:val="Hyperlink"/>
        </w:rPr>
        <w:t xml:space="preserve"> </w:t>
      </w:r>
    </w:p>
    <w:p w14:paraId="02C0D5C7" w14:textId="04458254" w:rsidR="00C03A2F" w:rsidRPr="00C03A2F" w:rsidRDefault="00B21AAA" w:rsidP="00212804">
      <w:pPr>
        <w:pStyle w:val="ListParagraph"/>
        <w:numPr>
          <w:ilvl w:val="0"/>
          <w:numId w:val="28"/>
        </w:numPr>
        <w:rPr>
          <w:color w:val="2004EC"/>
          <w:u w:val="single"/>
        </w:rPr>
      </w:pPr>
      <w:r>
        <w:fldChar w:fldCharType="end"/>
      </w:r>
      <w:hyperlink w:anchor="_Definitions" w:history="1">
        <w:r w:rsidR="00C03A2F" w:rsidRPr="00C03A2F">
          <w:rPr>
            <w:rStyle w:val="Hyperlink"/>
          </w:rPr>
          <w:t>Definitions</w:t>
        </w:r>
      </w:hyperlink>
    </w:p>
    <w:p w14:paraId="38763BE9" w14:textId="6814D874" w:rsidR="00FF4E4A" w:rsidRPr="00B21AAA" w:rsidRDefault="00B21AAA" w:rsidP="00212804">
      <w:pPr>
        <w:pStyle w:val="ListParagraph"/>
        <w:numPr>
          <w:ilvl w:val="0"/>
          <w:numId w:val="28"/>
        </w:numPr>
        <w:rPr>
          <w:rStyle w:val="Hyperlink"/>
        </w:rPr>
      </w:pPr>
      <w:r>
        <w:fldChar w:fldCharType="begin"/>
      </w:r>
      <w:r>
        <w:instrText>HYPERLINK  \l "_Guidelines"</w:instrText>
      </w:r>
      <w:r>
        <w:fldChar w:fldCharType="separate"/>
      </w:r>
      <w:r w:rsidR="00FF4E4A" w:rsidRPr="00B21AAA">
        <w:rPr>
          <w:rStyle w:val="Hyperlink"/>
        </w:rPr>
        <w:t>Guidelines</w:t>
      </w:r>
    </w:p>
    <w:p w14:paraId="207DF82A" w14:textId="4EF94221" w:rsidR="00B010F2" w:rsidRPr="00B21AAA" w:rsidRDefault="00B21AAA" w:rsidP="00B010F2">
      <w:pPr>
        <w:pStyle w:val="ListParagraph"/>
        <w:numPr>
          <w:ilvl w:val="1"/>
          <w:numId w:val="28"/>
        </w:numPr>
        <w:rPr>
          <w:rStyle w:val="Hyperlink"/>
          <w:lang w:eastAsia="en-CA"/>
        </w:rPr>
      </w:pPr>
      <w:r>
        <w:fldChar w:fldCharType="end"/>
      </w:r>
      <w:r>
        <w:rPr>
          <w:lang w:eastAsia="en-CA"/>
        </w:rPr>
        <w:fldChar w:fldCharType="begin"/>
      </w:r>
      <w:r>
        <w:rPr>
          <w:lang w:eastAsia="en-CA"/>
        </w:rPr>
        <w:instrText>HYPERLINK  \l "_Additional_Information"</w:instrText>
      </w:r>
      <w:r>
        <w:rPr>
          <w:lang w:eastAsia="en-CA"/>
        </w:rPr>
      </w:r>
      <w:r>
        <w:rPr>
          <w:lang w:eastAsia="en-CA"/>
        </w:rPr>
        <w:fldChar w:fldCharType="separate"/>
      </w:r>
      <w:r w:rsidR="00B010F2" w:rsidRPr="00B21AAA">
        <w:rPr>
          <w:rStyle w:val="Hyperlink"/>
          <w:lang w:eastAsia="en-CA"/>
        </w:rPr>
        <w:t>Additional Information</w:t>
      </w:r>
    </w:p>
    <w:p w14:paraId="73772F83" w14:textId="72DE3B1A" w:rsidR="00C52010" w:rsidRPr="00061C5F" w:rsidRDefault="00B21AAA" w:rsidP="00212804">
      <w:pPr>
        <w:pStyle w:val="ListParagraph"/>
        <w:numPr>
          <w:ilvl w:val="0"/>
          <w:numId w:val="28"/>
        </w:numPr>
        <w:rPr>
          <w:rStyle w:val="Hyperlink"/>
        </w:rPr>
      </w:pPr>
      <w:r>
        <w:rPr>
          <w:lang w:eastAsia="en-CA"/>
        </w:rPr>
        <w:fldChar w:fldCharType="end"/>
      </w:r>
      <w:r w:rsidR="00061C5F">
        <w:fldChar w:fldCharType="begin"/>
      </w:r>
      <w:r w:rsidR="00061C5F">
        <w:instrText xml:space="preserve"> HYPERLINK  \l "_Appendix_[optional]" </w:instrText>
      </w:r>
      <w:r w:rsidR="00061C5F">
        <w:fldChar w:fldCharType="separate"/>
      </w:r>
      <w:r w:rsidR="00C52010" w:rsidRPr="00061C5F">
        <w:rPr>
          <w:rStyle w:val="Hyperlink"/>
        </w:rPr>
        <w:t>Appendix</w:t>
      </w:r>
    </w:p>
    <w:p w14:paraId="6EA51FF8" w14:textId="0B78905A" w:rsidR="00FF4E4A" w:rsidRDefault="00061C5F" w:rsidP="00212804">
      <w:pPr>
        <w:pStyle w:val="ListParagraph"/>
        <w:numPr>
          <w:ilvl w:val="0"/>
          <w:numId w:val="28"/>
        </w:numPr>
      </w:pPr>
      <w:r>
        <w:fldChar w:fldCharType="end"/>
      </w:r>
      <w:hyperlink w:anchor="_References" w:history="1">
        <w:r w:rsidR="00FF4E4A" w:rsidRPr="00783DFC">
          <w:rPr>
            <w:rStyle w:val="Hyperlink"/>
          </w:rPr>
          <w:t>Reference</w:t>
        </w:r>
        <w:r w:rsidR="00783DFC" w:rsidRPr="00783DFC">
          <w:rPr>
            <w:rStyle w:val="Hyperlink"/>
          </w:rPr>
          <w:t>s</w:t>
        </w:r>
      </w:hyperlink>
    </w:p>
    <w:p w14:paraId="7C34F9F2" w14:textId="014B08CF" w:rsidR="00783DFC" w:rsidRDefault="00783DFC" w:rsidP="00783DFC">
      <w:pPr>
        <w:pStyle w:val="ListParagraph"/>
        <w:numPr>
          <w:ilvl w:val="1"/>
          <w:numId w:val="28"/>
        </w:numPr>
      </w:pPr>
      <w:hyperlink w:anchor="_Applicable_legislation" w:history="1">
        <w:r w:rsidRPr="00783DFC">
          <w:rPr>
            <w:rStyle w:val="Hyperlink"/>
          </w:rPr>
          <w:t>Applicable legislation</w:t>
        </w:r>
      </w:hyperlink>
    </w:p>
    <w:p w14:paraId="23934EE4" w14:textId="06B6685A" w:rsidR="00783DFC" w:rsidRDefault="00783DFC" w:rsidP="00783DFC">
      <w:pPr>
        <w:pStyle w:val="ListParagraph"/>
        <w:numPr>
          <w:ilvl w:val="1"/>
          <w:numId w:val="28"/>
        </w:numPr>
      </w:pPr>
      <w:hyperlink w:anchor="_Related_D_memoranda" w:history="1">
        <w:r w:rsidRPr="00783DFC">
          <w:rPr>
            <w:rStyle w:val="Hyperlink"/>
          </w:rPr>
          <w:t>Related D memoranda</w:t>
        </w:r>
      </w:hyperlink>
    </w:p>
    <w:p w14:paraId="170AEDF2" w14:textId="137E6452" w:rsidR="00783DFC" w:rsidRPr="00783DFC" w:rsidRDefault="00783DFC" w:rsidP="00783DFC">
      <w:pPr>
        <w:pStyle w:val="ListParagraph"/>
        <w:numPr>
          <w:ilvl w:val="1"/>
          <w:numId w:val="28"/>
        </w:numPr>
      </w:pPr>
      <w:hyperlink w:anchor="_Issuing_office" w:history="1">
        <w:r w:rsidRPr="00783DFC">
          <w:rPr>
            <w:rStyle w:val="Hyperlink"/>
          </w:rPr>
          <w:t>Issuing office</w:t>
        </w:r>
      </w:hyperlink>
    </w:p>
    <w:p w14:paraId="4FC861E8" w14:textId="19B21BE2" w:rsidR="00FF4E4A" w:rsidRPr="007310B1" w:rsidRDefault="007310B1" w:rsidP="00212804">
      <w:pPr>
        <w:pStyle w:val="ListParagraph"/>
        <w:numPr>
          <w:ilvl w:val="0"/>
          <w:numId w:val="28"/>
        </w:numPr>
        <w:rPr>
          <w:rStyle w:val="Hyperlink"/>
        </w:rPr>
      </w:pPr>
      <w:r>
        <w:fldChar w:fldCharType="begin"/>
      </w:r>
      <w:r>
        <w:instrText>HYPERLINK  \l "_Contact_us"</w:instrText>
      </w:r>
      <w:r>
        <w:fldChar w:fldCharType="separate"/>
      </w:r>
      <w:r w:rsidR="00FF4E4A" w:rsidRPr="007310B1">
        <w:rPr>
          <w:rStyle w:val="Hyperlink"/>
        </w:rPr>
        <w:t>Contact us</w:t>
      </w:r>
    </w:p>
    <w:p w14:paraId="174F8DA4" w14:textId="614CA6A7" w:rsidR="003A57EA" w:rsidRDefault="007310B1" w:rsidP="00261F43">
      <w:r>
        <w:rPr>
          <w:rFonts w:eastAsiaTheme="minorHAnsi" w:cstheme="minorBidi"/>
          <w:szCs w:val="22"/>
          <w:lang w:val="en-CA"/>
        </w:rPr>
        <w:fldChar w:fldCharType="end"/>
      </w:r>
      <w:bookmarkStart w:id="0" w:name="_Subheading_use_Heading"/>
      <w:bookmarkStart w:id="1" w:name="_Subheading_[HEADING_2]"/>
      <w:bookmarkStart w:id="2" w:name="_D-memo_updates"/>
      <w:bookmarkStart w:id="3" w:name="_Updates_made_to"/>
      <w:bookmarkEnd w:id="0"/>
      <w:bookmarkEnd w:id="1"/>
      <w:bookmarkEnd w:id="2"/>
      <w:bookmarkEnd w:id="3"/>
    </w:p>
    <w:p w14:paraId="510942C2" w14:textId="3C11F0CC" w:rsidR="00922954" w:rsidRDefault="00FF4E4A" w:rsidP="00922954">
      <w:pPr>
        <w:pStyle w:val="Heading2"/>
      </w:pPr>
      <w:r>
        <w:lastRenderedPageBreak/>
        <w:t>Updates made to this D-memo</w:t>
      </w:r>
    </w:p>
    <w:p w14:paraId="3C4F00DC" w14:textId="18641CA0" w:rsidR="009F51B7" w:rsidRPr="009F51B7" w:rsidRDefault="00F60539" w:rsidP="00B35273">
      <w:pPr>
        <w:rPr>
          <w:lang w:val="en-CA" w:eastAsia="en-CA"/>
        </w:rPr>
      </w:pPr>
      <w:bookmarkStart w:id="4" w:name="_Legislation"/>
      <w:bookmarkEnd w:id="4"/>
      <w:r w:rsidRPr="00F60539">
        <w:rPr>
          <w:lang w:val="en-CA" w:eastAsia="en-CA"/>
        </w:rPr>
        <w:t>This D-memo has been updated to</w:t>
      </w:r>
      <w:r w:rsidR="002C6DF3">
        <w:rPr>
          <w:lang w:val="en-CA" w:eastAsia="en-CA"/>
        </w:rPr>
        <w:t xml:space="preserve"> </w:t>
      </w:r>
      <w:r w:rsidR="009F51B7" w:rsidRPr="009F51B7">
        <w:rPr>
          <w:lang w:val="en-CA" w:eastAsia="en-CA"/>
        </w:rPr>
        <w:t>reflect accessibility and plain language considerations</w:t>
      </w:r>
      <w:r w:rsidR="00B35273">
        <w:rPr>
          <w:lang w:val="en-CA" w:eastAsia="en-CA"/>
        </w:rPr>
        <w:t>.</w:t>
      </w:r>
    </w:p>
    <w:p w14:paraId="686B4CD2" w14:textId="77777777" w:rsidR="0044109F" w:rsidRDefault="0044109F" w:rsidP="0044109F">
      <w:pPr>
        <w:pStyle w:val="Heading2"/>
      </w:pPr>
      <w:bookmarkStart w:id="5" w:name="_Another_subheading_use"/>
      <w:bookmarkStart w:id="6" w:name="_Another_subheading_[HEADING"/>
      <w:bookmarkStart w:id="7" w:name="_Guidelines"/>
      <w:bookmarkStart w:id="8" w:name="_Definitions"/>
      <w:bookmarkEnd w:id="5"/>
      <w:bookmarkEnd w:id="6"/>
      <w:bookmarkEnd w:id="7"/>
      <w:bookmarkEnd w:id="8"/>
      <w:r>
        <w:t>Definitions</w:t>
      </w:r>
    </w:p>
    <w:p w14:paraId="10E2E3AE" w14:textId="1CD98C99" w:rsidR="008F650D" w:rsidRPr="00A223CD" w:rsidRDefault="008F650D" w:rsidP="008F650D">
      <w:pPr>
        <w:rPr>
          <w:lang w:val="en-CA" w:eastAsia="en-CA"/>
        </w:rPr>
      </w:pPr>
      <w:bookmarkStart w:id="9" w:name="_Replacing_your_Pleasure"/>
      <w:bookmarkStart w:id="10" w:name="para_115"/>
      <w:bookmarkStart w:id="11" w:name="para_116"/>
      <w:bookmarkStart w:id="12" w:name="para_117"/>
      <w:bookmarkStart w:id="13" w:name="para_121"/>
      <w:bookmarkStart w:id="14" w:name="para_119"/>
      <w:bookmarkEnd w:id="9"/>
      <w:bookmarkEnd w:id="10"/>
      <w:bookmarkEnd w:id="11"/>
      <w:bookmarkEnd w:id="12"/>
      <w:bookmarkEnd w:id="13"/>
      <w:bookmarkEnd w:id="14"/>
      <w:r w:rsidRPr="00A223CD">
        <w:rPr>
          <w:lang w:val="en-CA" w:eastAsia="en-CA"/>
        </w:rPr>
        <w:t xml:space="preserve">1. This memorandum provides </w:t>
      </w:r>
      <w:r>
        <w:rPr>
          <w:lang w:val="en-CA" w:eastAsia="en-CA"/>
        </w:rPr>
        <w:t xml:space="preserve">guidance for interpreting </w:t>
      </w:r>
      <w:r w:rsidRPr="00A223CD">
        <w:rPr>
          <w:lang w:val="en-CA" w:eastAsia="en-CA"/>
        </w:rPr>
        <w:t xml:space="preserve">the term "covering the ankle", as found in Chapter 64 of the </w:t>
      </w:r>
      <w:r w:rsidRPr="00CE1877">
        <w:rPr>
          <w:i/>
          <w:iCs/>
          <w:lang w:val="en-CA" w:eastAsia="en-CA"/>
        </w:rPr>
        <w:t>Customs Tariff</w:t>
      </w:r>
      <w:r w:rsidRPr="00A223CD">
        <w:rPr>
          <w:lang w:val="en-CA" w:eastAsia="en-CA"/>
        </w:rPr>
        <w:t xml:space="preserve"> (Tariff).</w:t>
      </w:r>
    </w:p>
    <w:p w14:paraId="6B454DCB" w14:textId="77777777" w:rsidR="008F650D" w:rsidRPr="00A223CD" w:rsidRDefault="008F650D" w:rsidP="008F650D">
      <w:pPr>
        <w:rPr>
          <w:lang w:val="en-CA" w:eastAsia="en-CA"/>
        </w:rPr>
      </w:pPr>
    </w:p>
    <w:p w14:paraId="5CC65ECE" w14:textId="49B3149F" w:rsidR="008F650D" w:rsidRPr="00A223CD" w:rsidRDefault="008F650D" w:rsidP="008F650D">
      <w:pPr>
        <w:rPr>
          <w:lang w:val="en-CA" w:eastAsia="en-CA"/>
        </w:rPr>
      </w:pPr>
      <w:r w:rsidRPr="00A223CD">
        <w:rPr>
          <w:lang w:val="en-CA" w:eastAsia="en-CA"/>
        </w:rPr>
        <w:t xml:space="preserve">2. The Section and Chapter Notes </w:t>
      </w:r>
      <w:r>
        <w:rPr>
          <w:lang w:val="en-CA" w:eastAsia="en-CA"/>
        </w:rPr>
        <w:t xml:space="preserve">in the Tariff </w:t>
      </w:r>
      <w:r w:rsidRPr="00A223CD">
        <w:rPr>
          <w:lang w:val="en-CA" w:eastAsia="en-CA"/>
        </w:rPr>
        <w:t>offer no definition of either "covering" or "ankle". Likewise, the relevant Explanatory Notes offer no clarification.</w:t>
      </w:r>
      <w:r>
        <w:rPr>
          <w:lang w:val="en-CA" w:eastAsia="en-CA"/>
        </w:rPr>
        <w:t xml:space="preserve"> In the absence of clarity in the relevant notes, the following dictionary definitions of the terms </w:t>
      </w:r>
      <w:r w:rsidR="0030275F">
        <w:rPr>
          <w:lang w:val="en-CA" w:eastAsia="en-CA"/>
        </w:rPr>
        <w:t xml:space="preserve">will </w:t>
      </w:r>
      <w:r>
        <w:rPr>
          <w:lang w:val="en-CA" w:eastAsia="en-CA"/>
        </w:rPr>
        <w:t>be used.</w:t>
      </w:r>
    </w:p>
    <w:p w14:paraId="2E3EF58A" w14:textId="77777777" w:rsidR="00FE3051" w:rsidRDefault="00FE3051" w:rsidP="00752307">
      <w:pPr>
        <w:ind w:left="232" w:firstLine="128"/>
        <w:rPr>
          <w:b/>
          <w:bCs/>
        </w:rPr>
      </w:pPr>
    </w:p>
    <w:p w14:paraId="28900E75" w14:textId="2FE47BB6" w:rsidR="00752307" w:rsidRDefault="00752307" w:rsidP="009A5E30">
      <w:pPr>
        <w:ind w:left="284"/>
        <w:rPr>
          <w:lang w:val="en-CA" w:eastAsia="en-CA"/>
        </w:rPr>
      </w:pPr>
      <w:r>
        <w:rPr>
          <w:b/>
          <w:bCs/>
        </w:rPr>
        <w:t>Ankle:</w:t>
      </w:r>
      <w:r w:rsidR="00FE3051">
        <w:rPr>
          <w:b/>
          <w:bCs/>
        </w:rPr>
        <w:t xml:space="preserve"> </w:t>
      </w:r>
      <w:r>
        <w:rPr>
          <w:lang w:val="en-CA" w:eastAsia="en-CA"/>
        </w:rPr>
        <w:t>the joint connecting the foot to the leg</w:t>
      </w:r>
      <w:r w:rsidR="009A5E30">
        <w:rPr>
          <w:lang w:val="en-CA" w:eastAsia="en-CA"/>
        </w:rPr>
        <w:t>,</w:t>
      </w:r>
      <w:r w:rsidR="009A5E30" w:rsidRPr="009A5E30">
        <w:t xml:space="preserve"> </w:t>
      </w:r>
      <w:r w:rsidR="009A5E30" w:rsidRPr="009A5E30">
        <w:rPr>
          <w:lang w:val="en-CA" w:eastAsia="en-CA"/>
        </w:rPr>
        <w:t>marked by the projections (malleolar zone) formed on the outside by the fibula, on the inside by the tibia.</w:t>
      </w:r>
    </w:p>
    <w:p w14:paraId="6FFA79D0" w14:textId="77777777" w:rsidR="00FB7A0D" w:rsidRDefault="00FB7A0D" w:rsidP="00B35273">
      <w:pPr>
        <w:ind w:left="142" w:firstLine="142"/>
      </w:pPr>
    </w:p>
    <w:p w14:paraId="70A6DFC1" w14:textId="5E6CF9AE" w:rsidR="00FB7A0D" w:rsidRPr="0044109F" w:rsidRDefault="00FB7A0D" w:rsidP="00B35273">
      <w:pPr>
        <w:ind w:left="142" w:firstLine="142"/>
      </w:pPr>
      <w:r>
        <w:rPr>
          <w:b/>
          <w:bCs/>
        </w:rPr>
        <w:t>Covering:</w:t>
      </w:r>
      <w:r>
        <w:rPr>
          <w:lang w:val="en-CA" w:eastAsia="en-CA"/>
        </w:rPr>
        <w:t xml:space="preserve"> a thing used to cover, protect or conceal something else</w:t>
      </w:r>
    </w:p>
    <w:p w14:paraId="0C3C9E3F" w14:textId="77777777" w:rsidR="008F650D" w:rsidRDefault="008F650D" w:rsidP="008F650D">
      <w:pPr>
        <w:pStyle w:val="Heading2"/>
      </w:pPr>
      <w:bookmarkStart w:id="15" w:name="Background"/>
      <w:bookmarkStart w:id="16" w:name="_Background"/>
      <w:bookmarkStart w:id="17" w:name="para_118"/>
      <w:bookmarkStart w:id="18" w:name="para_120"/>
      <w:bookmarkStart w:id="19" w:name="Interpretative"/>
      <w:bookmarkEnd w:id="15"/>
      <w:bookmarkEnd w:id="16"/>
      <w:bookmarkEnd w:id="17"/>
      <w:bookmarkEnd w:id="18"/>
      <w:r w:rsidRPr="002B15EF">
        <w:t>Guidelines</w:t>
      </w:r>
    </w:p>
    <w:p w14:paraId="04B7208D" w14:textId="2604E392" w:rsidR="00C266EA" w:rsidRDefault="00C266EA" w:rsidP="009B3AD1">
      <w:pPr>
        <w:rPr>
          <w:b/>
          <w:bCs/>
          <w:lang w:val="en-CA" w:eastAsia="en-CA"/>
        </w:rPr>
      </w:pPr>
    </w:p>
    <w:p w14:paraId="7B317563" w14:textId="51FB3581" w:rsidR="00C266EA" w:rsidRPr="00C266EA" w:rsidRDefault="00C266EA" w:rsidP="00C266EA">
      <w:pPr>
        <w:rPr>
          <w:lang w:val="en-CA" w:eastAsia="en-CA"/>
        </w:rPr>
      </w:pPr>
      <w:r w:rsidRPr="00C266EA">
        <w:rPr>
          <w:lang w:val="en-CA" w:eastAsia="en-CA"/>
        </w:rPr>
        <w:t>3. For</w:t>
      </w:r>
      <w:r w:rsidR="00F45C11">
        <w:rPr>
          <w:lang w:val="en-CA" w:eastAsia="en-CA"/>
        </w:rPr>
        <w:t xml:space="preserve"> tariff classification purposes</w:t>
      </w:r>
      <w:r w:rsidRPr="00C266EA">
        <w:rPr>
          <w:lang w:val="en-CA" w:eastAsia="en-CA"/>
        </w:rPr>
        <w:t xml:space="preserve">, the ankle is the area of the ankle joint where the leg and foot join – commonly called the "ankle bone" and anatomically referred to as the "malleolar zone" (refer to </w:t>
      </w:r>
      <w:r w:rsidR="00D2210D">
        <w:rPr>
          <w:lang w:val="en-CA" w:eastAsia="en-CA"/>
        </w:rPr>
        <w:t xml:space="preserve">Appendix </w:t>
      </w:r>
      <w:r w:rsidRPr="00C266EA">
        <w:rPr>
          <w:lang w:val="en-CA" w:eastAsia="en-CA"/>
        </w:rPr>
        <w:t>figure 1).</w:t>
      </w:r>
    </w:p>
    <w:p w14:paraId="33715EA9" w14:textId="77777777" w:rsidR="00C266EA" w:rsidRPr="00C266EA" w:rsidRDefault="00C266EA" w:rsidP="00C266EA">
      <w:pPr>
        <w:rPr>
          <w:lang w:val="en-CA" w:eastAsia="en-CA"/>
        </w:rPr>
      </w:pPr>
    </w:p>
    <w:p w14:paraId="1F495170" w14:textId="35F3859A" w:rsidR="00C266EA" w:rsidRPr="00C266EA" w:rsidRDefault="00C266EA" w:rsidP="00C266EA">
      <w:pPr>
        <w:rPr>
          <w:lang w:val="en-CA" w:eastAsia="en-CA"/>
        </w:rPr>
      </w:pPr>
      <w:r w:rsidRPr="00C266EA">
        <w:rPr>
          <w:lang w:val="en-CA" w:eastAsia="en-CA"/>
        </w:rPr>
        <w:t xml:space="preserve">4. The foot portion of the ankle joint includes the midfoot (arch) – made up of the Navicular, Cuboid and Cuneiforms bones, and the hindfoot (heel) – made up of the Talus and Calcaneus bones. The lower leg portion of the joint consists of both the tibia and fibula bones (refer to </w:t>
      </w:r>
      <w:r w:rsidR="00D2210D">
        <w:rPr>
          <w:lang w:val="en-CA" w:eastAsia="en-CA"/>
        </w:rPr>
        <w:t xml:space="preserve">Appendix </w:t>
      </w:r>
      <w:r w:rsidRPr="00C266EA">
        <w:rPr>
          <w:lang w:val="en-CA" w:eastAsia="en-CA"/>
        </w:rPr>
        <w:t>figure 2).</w:t>
      </w:r>
    </w:p>
    <w:p w14:paraId="5AC5F992" w14:textId="77777777" w:rsidR="00C266EA" w:rsidRPr="00C266EA" w:rsidRDefault="00C266EA" w:rsidP="00C266EA">
      <w:pPr>
        <w:rPr>
          <w:lang w:val="en-CA" w:eastAsia="en-CA"/>
        </w:rPr>
      </w:pPr>
    </w:p>
    <w:p w14:paraId="7804459B" w14:textId="70556A1B" w:rsidR="00C266EA" w:rsidRPr="00C266EA" w:rsidRDefault="00C266EA" w:rsidP="00C266EA">
      <w:pPr>
        <w:rPr>
          <w:lang w:val="en-CA" w:eastAsia="en-CA"/>
        </w:rPr>
      </w:pPr>
      <w:r w:rsidRPr="00C266EA">
        <w:rPr>
          <w:lang w:val="en-CA" w:eastAsia="en-CA"/>
        </w:rPr>
        <w:t xml:space="preserve">5. In order to satisfy </w:t>
      </w:r>
      <w:r w:rsidR="003D61CE">
        <w:rPr>
          <w:lang w:val="en-CA" w:eastAsia="en-CA"/>
        </w:rPr>
        <w:t>the terms of</w:t>
      </w:r>
      <w:r w:rsidRPr="00C266EA">
        <w:rPr>
          <w:lang w:val="en-CA" w:eastAsia="en-CA"/>
        </w:rPr>
        <w:t xml:space="preserve"> "covering the ankle", the footwear upper must provide 100% coverage of the midfoot, hindfoot and malleolar zone.</w:t>
      </w:r>
    </w:p>
    <w:p w14:paraId="56EF36E8" w14:textId="77777777" w:rsidR="00C266EA" w:rsidRPr="00C266EA" w:rsidRDefault="00C266EA" w:rsidP="00C266EA">
      <w:pPr>
        <w:rPr>
          <w:lang w:val="en-CA" w:eastAsia="en-CA"/>
        </w:rPr>
      </w:pPr>
    </w:p>
    <w:p w14:paraId="321A35D4" w14:textId="29F43D49" w:rsidR="00C266EA" w:rsidRPr="00C266EA" w:rsidRDefault="00C266EA" w:rsidP="00C266EA">
      <w:pPr>
        <w:rPr>
          <w:lang w:val="en-CA" w:eastAsia="en-CA"/>
        </w:rPr>
      </w:pPr>
      <w:r w:rsidRPr="00C266EA">
        <w:rPr>
          <w:lang w:val="en-CA" w:eastAsia="en-CA"/>
        </w:rPr>
        <w:t xml:space="preserve">6. Partial coverage of the midfoot, hindfoot and malleolar </w:t>
      </w:r>
      <w:r w:rsidR="00FB0218">
        <w:rPr>
          <w:lang w:val="en-CA" w:eastAsia="en-CA"/>
        </w:rPr>
        <w:t>zone</w:t>
      </w:r>
      <w:r w:rsidRPr="00C266EA">
        <w:rPr>
          <w:lang w:val="en-CA" w:eastAsia="en-CA"/>
        </w:rPr>
        <w:t xml:space="preserve">, no matter how large or small, </w:t>
      </w:r>
      <w:r w:rsidR="003D61CE">
        <w:rPr>
          <w:lang w:val="en-CA" w:eastAsia="en-CA"/>
        </w:rPr>
        <w:t>does not satisfy the terms of</w:t>
      </w:r>
      <w:r w:rsidRPr="00C266EA">
        <w:rPr>
          <w:lang w:val="en-CA" w:eastAsia="en-CA"/>
        </w:rPr>
        <w:t xml:space="preserve"> </w:t>
      </w:r>
      <w:r w:rsidR="003D61CE">
        <w:rPr>
          <w:lang w:val="en-CA" w:eastAsia="en-CA"/>
        </w:rPr>
        <w:t>“</w:t>
      </w:r>
      <w:r w:rsidRPr="00C266EA">
        <w:rPr>
          <w:lang w:val="en-CA" w:eastAsia="en-CA"/>
        </w:rPr>
        <w:t>covering the ankle</w:t>
      </w:r>
      <w:r w:rsidR="003D61CE">
        <w:rPr>
          <w:lang w:val="en-CA" w:eastAsia="en-CA"/>
        </w:rPr>
        <w:t>”</w:t>
      </w:r>
      <w:r w:rsidRPr="00C266EA">
        <w:rPr>
          <w:lang w:val="en-CA" w:eastAsia="en-CA"/>
        </w:rPr>
        <w:t>.</w:t>
      </w:r>
    </w:p>
    <w:p w14:paraId="328FCDCC" w14:textId="77777777" w:rsidR="00C266EA" w:rsidRPr="00C266EA" w:rsidRDefault="00C266EA" w:rsidP="00C266EA">
      <w:pPr>
        <w:rPr>
          <w:lang w:val="en-CA" w:eastAsia="en-CA"/>
        </w:rPr>
      </w:pPr>
    </w:p>
    <w:p w14:paraId="51D6E566" w14:textId="47E3B666" w:rsidR="00C266EA" w:rsidRPr="00C266EA" w:rsidRDefault="00C266EA" w:rsidP="00C266EA">
      <w:pPr>
        <w:rPr>
          <w:lang w:val="en-CA" w:eastAsia="en-CA"/>
        </w:rPr>
      </w:pPr>
      <w:r w:rsidRPr="00C266EA">
        <w:rPr>
          <w:lang w:val="en-CA" w:eastAsia="en-CA"/>
        </w:rPr>
        <w:t xml:space="preserve">7. </w:t>
      </w:r>
      <w:r w:rsidR="007D7795">
        <w:rPr>
          <w:lang w:val="en-CA" w:eastAsia="en-CA"/>
        </w:rPr>
        <w:t>F</w:t>
      </w:r>
      <w:r w:rsidRPr="00C266EA">
        <w:rPr>
          <w:lang w:val="en-CA" w:eastAsia="en-CA"/>
        </w:rPr>
        <w:t>ootwear with straps, ties, lacing, buckles, ribbons or ornamental trimmings, readily identifiable as part of the upper and designed to be positioned anywhere o</w:t>
      </w:r>
      <w:r w:rsidR="00D369EF">
        <w:rPr>
          <w:lang w:val="en-CA" w:eastAsia="en-CA"/>
        </w:rPr>
        <w:t>n</w:t>
      </w:r>
      <w:r w:rsidRPr="00C266EA">
        <w:rPr>
          <w:lang w:val="en-CA" w:eastAsia="en-CA"/>
        </w:rPr>
        <w:t xml:space="preserve"> the ankle, </w:t>
      </w:r>
      <w:r w:rsidRPr="00C266EA">
        <w:rPr>
          <w:lang w:val="en-CA" w:eastAsia="en-CA"/>
        </w:rPr>
        <w:lastRenderedPageBreak/>
        <w:t xml:space="preserve">but not providing 100% coverage of the midfoot, hindfoot and malleolar </w:t>
      </w:r>
      <w:r w:rsidR="00396658">
        <w:rPr>
          <w:lang w:val="en-CA" w:eastAsia="en-CA"/>
        </w:rPr>
        <w:t>zone</w:t>
      </w:r>
      <w:r w:rsidRPr="00C266EA">
        <w:rPr>
          <w:lang w:val="en-CA" w:eastAsia="en-CA"/>
        </w:rPr>
        <w:t xml:space="preserve">, </w:t>
      </w:r>
      <w:r w:rsidR="003F6FAD">
        <w:rPr>
          <w:lang w:val="en-CA" w:eastAsia="en-CA"/>
        </w:rPr>
        <w:t>does</w:t>
      </w:r>
      <w:r w:rsidR="007D7795">
        <w:rPr>
          <w:lang w:val="en-CA" w:eastAsia="en-CA"/>
        </w:rPr>
        <w:t xml:space="preserve"> not</w:t>
      </w:r>
      <w:r w:rsidRPr="00C266EA">
        <w:rPr>
          <w:lang w:val="en-CA" w:eastAsia="en-CA"/>
        </w:rPr>
        <w:t xml:space="preserve"> </w:t>
      </w:r>
      <w:r w:rsidR="00396658">
        <w:rPr>
          <w:lang w:val="en-CA" w:eastAsia="en-CA"/>
        </w:rPr>
        <w:t>meet the terms of</w:t>
      </w:r>
      <w:r w:rsidRPr="00C266EA">
        <w:rPr>
          <w:lang w:val="en-CA" w:eastAsia="en-CA"/>
        </w:rPr>
        <w:t xml:space="preserve"> </w:t>
      </w:r>
      <w:r w:rsidR="003D61CE">
        <w:rPr>
          <w:lang w:val="en-CA" w:eastAsia="en-CA"/>
        </w:rPr>
        <w:t>“</w:t>
      </w:r>
      <w:r w:rsidRPr="00C266EA">
        <w:rPr>
          <w:lang w:val="en-CA" w:eastAsia="en-CA"/>
        </w:rPr>
        <w:t>covering the ankle</w:t>
      </w:r>
      <w:r w:rsidR="003D61CE">
        <w:rPr>
          <w:lang w:val="en-CA" w:eastAsia="en-CA"/>
        </w:rPr>
        <w:t>”</w:t>
      </w:r>
      <w:r w:rsidRPr="00C266EA">
        <w:rPr>
          <w:lang w:val="en-CA" w:eastAsia="en-CA"/>
        </w:rPr>
        <w:t>.</w:t>
      </w:r>
    </w:p>
    <w:p w14:paraId="3C2B4F2C" w14:textId="77777777" w:rsidR="00C266EA" w:rsidRPr="00C266EA" w:rsidRDefault="00C266EA" w:rsidP="00C266EA">
      <w:pPr>
        <w:rPr>
          <w:lang w:val="en-CA" w:eastAsia="en-CA"/>
        </w:rPr>
      </w:pPr>
    </w:p>
    <w:p w14:paraId="64893202" w14:textId="0BE48648" w:rsidR="00C266EA" w:rsidRPr="00C266EA" w:rsidRDefault="00C266EA" w:rsidP="00C266EA">
      <w:pPr>
        <w:rPr>
          <w:lang w:val="en-CA" w:eastAsia="en-CA"/>
        </w:rPr>
      </w:pPr>
      <w:r w:rsidRPr="00C266EA">
        <w:rPr>
          <w:lang w:val="en-CA" w:eastAsia="en-CA"/>
        </w:rPr>
        <w:t xml:space="preserve">8. </w:t>
      </w:r>
      <w:r w:rsidR="007D7795">
        <w:rPr>
          <w:lang w:val="en-CA" w:eastAsia="en-CA"/>
        </w:rPr>
        <w:t>F</w:t>
      </w:r>
      <w:r w:rsidRPr="00C266EA">
        <w:rPr>
          <w:lang w:val="en-CA" w:eastAsia="en-CA"/>
        </w:rPr>
        <w:t xml:space="preserve">ootwear </w:t>
      </w:r>
      <w:r w:rsidR="007D7795">
        <w:rPr>
          <w:lang w:val="en-CA" w:eastAsia="en-CA"/>
        </w:rPr>
        <w:t xml:space="preserve">that </w:t>
      </w:r>
      <w:r w:rsidRPr="00C266EA">
        <w:rPr>
          <w:lang w:val="en-CA" w:eastAsia="en-CA"/>
        </w:rPr>
        <w:t xml:space="preserve">features an upper with cut-out or punch-out shapes or patterns that </w:t>
      </w:r>
      <w:r w:rsidR="006B57D3">
        <w:rPr>
          <w:lang w:val="en-CA" w:eastAsia="en-CA"/>
        </w:rPr>
        <w:t>expose the</w:t>
      </w:r>
      <w:r w:rsidRPr="00C266EA">
        <w:rPr>
          <w:lang w:val="en-CA" w:eastAsia="en-CA"/>
        </w:rPr>
        <w:t xml:space="preserve"> midfoot, hindfoot or ankle joint area </w:t>
      </w:r>
      <w:r w:rsidR="003F6FAD">
        <w:rPr>
          <w:lang w:val="en-CA" w:eastAsia="en-CA"/>
        </w:rPr>
        <w:t>does</w:t>
      </w:r>
      <w:r w:rsidR="007D4D09">
        <w:rPr>
          <w:lang w:val="en-CA" w:eastAsia="en-CA"/>
        </w:rPr>
        <w:t xml:space="preserve"> not meet the terms of</w:t>
      </w:r>
      <w:r w:rsidRPr="00C266EA">
        <w:rPr>
          <w:lang w:val="en-CA" w:eastAsia="en-CA"/>
        </w:rPr>
        <w:t xml:space="preserve"> "covering the ankle".</w:t>
      </w:r>
    </w:p>
    <w:p w14:paraId="7E506D8F" w14:textId="77777777" w:rsidR="00C266EA" w:rsidRPr="00C266EA" w:rsidRDefault="00C266EA" w:rsidP="00C266EA">
      <w:pPr>
        <w:rPr>
          <w:lang w:val="en-CA" w:eastAsia="en-CA"/>
        </w:rPr>
      </w:pPr>
    </w:p>
    <w:p w14:paraId="2CD1CEDC" w14:textId="31E31727" w:rsidR="009B3AD1" w:rsidRPr="00046EB9" w:rsidRDefault="00C266EA" w:rsidP="009B3AD1">
      <w:pPr>
        <w:rPr>
          <w:b/>
          <w:bCs/>
          <w:lang w:val="en-CA" w:eastAsia="en-CA"/>
        </w:rPr>
      </w:pPr>
      <w:r w:rsidRPr="00C266EA">
        <w:rPr>
          <w:lang w:val="en-CA" w:eastAsia="en-CA"/>
        </w:rPr>
        <w:t xml:space="preserve">9. </w:t>
      </w:r>
      <w:r w:rsidR="006B57D3">
        <w:rPr>
          <w:lang w:val="en-CA" w:eastAsia="en-CA"/>
        </w:rPr>
        <w:t xml:space="preserve">Footwear that </w:t>
      </w:r>
      <w:r w:rsidR="006D67FD">
        <w:rPr>
          <w:lang w:val="en-CA" w:eastAsia="en-CA"/>
        </w:rPr>
        <w:t>is</w:t>
      </w:r>
      <w:r w:rsidR="00CB4C79">
        <w:rPr>
          <w:lang w:val="en-CA" w:eastAsia="en-CA"/>
        </w:rPr>
        <w:t xml:space="preserve"> considered to</w:t>
      </w:r>
      <w:r w:rsidR="006B57D3">
        <w:rPr>
          <w:lang w:val="en-CA" w:eastAsia="en-CA"/>
        </w:rPr>
        <w:t xml:space="preserve"> cover the ankle, as described above, but is designed with o</w:t>
      </w:r>
      <w:r w:rsidRPr="00C266EA">
        <w:rPr>
          <w:lang w:val="en-CA" w:eastAsia="en-CA"/>
        </w:rPr>
        <w:t>pen toe</w:t>
      </w:r>
      <w:r w:rsidR="006D67FD">
        <w:rPr>
          <w:lang w:val="en-CA" w:eastAsia="en-CA"/>
        </w:rPr>
        <w:t>s</w:t>
      </w:r>
      <w:r w:rsidR="006B57D3">
        <w:rPr>
          <w:lang w:val="en-CA" w:eastAsia="en-CA"/>
        </w:rPr>
        <w:t>, which mean that the wearer’s toes</w:t>
      </w:r>
      <w:r w:rsidR="00097A8C">
        <w:rPr>
          <w:lang w:val="en-CA" w:eastAsia="en-CA"/>
        </w:rPr>
        <w:t xml:space="preserve"> </w:t>
      </w:r>
      <w:r w:rsidR="006B57D3">
        <w:rPr>
          <w:lang w:val="en-CA" w:eastAsia="en-CA"/>
        </w:rPr>
        <w:t xml:space="preserve">(phalanges) are not covered, </w:t>
      </w:r>
      <w:r w:rsidRPr="00C266EA">
        <w:rPr>
          <w:lang w:val="en-CA" w:eastAsia="en-CA"/>
        </w:rPr>
        <w:t xml:space="preserve">are classified under a "covering the ankle" </w:t>
      </w:r>
      <w:r w:rsidR="00002BFC">
        <w:rPr>
          <w:lang w:val="en-CA" w:eastAsia="en-CA"/>
        </w:rPr>
        <w:t>subheading</w:t>
      </w:r>
      <w:r w:rsidRPr="00C266EA">
        <w:rPr>
          <w:lang w:val="en-CA" w:eastAsia="en-CA"/>
        </w:rPr>
        <w:t>.</w:t>
      </w:r>
      <w:bookmarkEnd w:id="19"/>
    </w:p>
    <w:p w14:paraId="0ABAAE29" w14:textId="67322EA9" w:rsidR="009B3AD1" w:rsidRPr="00046EB9" w:rsidRDefault="009B3AD1" w:rsidP="00C36FBF">
      <w:pPr>
        <w:pStyle w:val="Heading3"/>
        <w:rPr>
          <w:lang w:val="en-CA"/>
        </w:rPr>
      </w:pPr>
      <w:bookmarkStart w:id="20" w:name="_Additional_Information"/>
      <w:bookmarkEnd w:id="20"/>
      <w:r w:rsidRPr="00046EB9">
        <w:rPr>
          <w:lang w:val="en-CA"/>
        </w:rPr>
        <w:t>Additional Information</w:t>
      </w:r>
    </w:p>
    <w:p w14:paraId="2D83673C" w14:textId="77777777" w:rsidR="00FF4E4A" w:rsidRDefault="00FF4E4A" w:rsidP="00212804">
      <w:bookmarkStart w:id="21" w:name="_Definitions_[optional]"/>
      <w:bookmarkStart w:id="22" w:name="_Tables"/>
      <w:bookmarkEnd w:id="21"/>
      <w:bookmarkEnd w:id="22"/>
    </w:p>
    <w:p w14:paraId="47F58D33" w14:textId="00B67E30" w:rsidR="00C047D0" w:rsidRPr="00C047D0" w:rsidRDefault="00C266EA" w:rsidP="00C047D0">
      <w:pPr>
        <w:rPr>
          <w:szCs w:val="22"/>
          <w:lang w:val="en-CA"/>
        </w:rPr>
      </w:pPr>
      <w:r>
        <w:t xml:space="preserve">10. </w:t>
      </w:r>
      <w:r w:rsidR="00B10BF7" w:rsidRPr="00B10BF7">
        <w:t>Procedures to obtain an advance ruling for tariff classification of goods are outlined in</w:t>
      </w:r>
      <w:r w:rsidR="00B10BF7">
        <w:t xml:space="preserve"> </w:t>
      </w:r>
      <w:r w:rsidR="00BC645B" w:rsidRPr="00BC645B">
        <w:t>Memorandum D11-11-3: Advance Rulings for Tariff Classification</w:t>
      </w:r>
      <w:r w:rsidR="00C047D0" w:rsidRPr="00C047D0">
        <w:t>.</w:t>
      </w:r>
    </w:p>
    <w:p w14:paraId="7D7C96B6" w14:textId="59C29E54" w:rsidR="00C266EA" w:rsidRPr="003F451D" w:rsidRDefault="00C266EA" w:rsidP="00C266EA">
      <w:pPr>
        <w:rPr>
          <w:lang w:val="en-CA"/>
        </w:rPr>
      </w:pPr>
    </w:p>
    <w:p w14:paraId="251C2DCF" w14:textId="3D18B209" w:rsidR="00FF4E4A" w:rsidRDefault="00FF4E4A" w:rsidP="00212804">
      <w:pPr>
        <w:pStyle w:val="Heading2"/>
      </w:pPr>
      <w:bookmarkStart w:id="23" w:name="_Appendix_[optional]"/>
      <w:bookmarkEnd w:id="23"/>
      <w:r w:rsidRPr="000361C3">
        <w:t>Appendix</w:t>
      </w:r>
    </w:p>
    <w:p w14:paraId="7B298D0E" w14:textId="069F0A11" w:rsidR="00B010F2" w:rsidRDefault="00B010F2" w:rsidP="00B010F2">
      <w:pPr>
        <w:rPr>
          <w:lang w:val="en-CA" w:eastAsia="en-CA"/>
        </w:rPr>
      </w:pPr>
    </w:p>
    <w:p w14:paraId="27E0AFB3" w14:textId="73FCF388" w:rsidR="0089295F" w:rsidRDefault="0089295F" w:rsidP="00B010F2">
      <w:pPr>
        <w:rPr>
          <w:lang w:val="en-CA" w:eastAsia="en-CA"/>
        </w:rPr>
      </w:pPr>
      <w:r>
        <w:rPr>
          <w:noProof/>
          <w:lang w:val="en-CA" w:eastAsia="en-CA"/>
        </w:rPr>
        <w:drawing>
          <wp:inline distT="0" distB="0" distL="0" distR="0" wp14:anchorId="4A179520" wp14:editId="1EF31862">
            <wp:extent cx="5886450" cy="3091180"/>
            <wp:effectExtent l="0" t="0" r="0" b="0"/>
            <wp:docPr id="2013852586" name="Picture 1" descr="One image containing two pictures of the bone structure of the human ankle joint. The joint is shown to cover the area where the leg and foot join, anatomically referred to as the &quot;Malleolar Zone&quot;. Picture on the left shows the medial view and the picture on the right shows lateral view of the same ankle joint. In the middle of the image there are lines pointing to the section of the foot in each view that represents the malleolar zone and the mid foot zone respectf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2586" name="Picture 1" descr="One image containing two pictures of the bone structure of the human ankle joint. The joint is shown to cover the area where the leg and foot join, anatomically referred to as the &quot;Malleolar Zone&quot;. Picture on the left shows the medial view and the picture on the right shows lateral view of the same ankle joint. In the middle of the image there are lines pointing to the section of the foot in each view that represents the malleolar zone and the mid foot zone respectfully."/>
                    <pic:cNvPicPr/>
                  </pic:nvPicPr>
                  <pic:blipFill>
                    <a:blip r:embed="rId15">
                      <a:extLst>
                        <a:ext uri="{28A0092B-C50C-407E-A947-70E740481C1C}">
                          <a14:useLocalDpi xmlns:a14="http://schemas.microsoft.com/office/drawing/2010/main" val="0"/>
                        </a:ext>
                      </a:extLst>
                    </a:blip>
                    <a:stretch>
                      <a:fillRect/>
                    </a:stretch>
                  </pic:blipFill>
                  <pic:spPr>
                    <a:xfrm>
                      <a:off x="0" y="0"/>
                      <a:ext cx="5886450" cy="3091180"/>
                    </a:xfrm>
                    <a:prstGeom prst="rect">
                      <a:avLst/>
                    </a:prstGeom>
                  </pic:spPr>
                </pic:pic>
              </a:graphicData>
            </a:graphic>
          </wp:inline>
        </w:drawing>
      </w:r>
    </w:p>
    <w:p w14:paraId="370113BA" w14:textId="7DD60336" w:rsidR="00B010F2" w:rsidRDefault="00B010F2" w:rsidP="00B010F2">
      <w:pPr>
        <w:rPr>
          <w:lang w:val="en-CA" w:eastAsia="en-CA"/>
        </w:rPr>
      </w:pPr>
      <w:r w:rsidRPr="00B010F2">
        <w:rPr>
          <w:lang w:val="en-CA" w:eastAsia="en-CA"/>
        </w:rPr>
        <w:t xml:space="preserve">Figure 1: </w:t>
      </w:r>
      <w:r w:rsidR="00396658">
        <w:rPr>
          <w:lang w:val="en-CA" w:eastAsia="en-CA"/>
        </w:rPr>
        <w:t>One image containing t</w:t>
      </w:r>
      <w:r w:rsidR="007D4D09">
        <w:rPr>
          <w:lang w:val="en-CA" w:eastAsia="en-CA"/>
        </w:rPr>
        <w:t>wo pictures of the bone structure of the human a</w:t>
      </w:r>
      <w:r w:rsidRPr="00B010F2">
        <w:rPr>
          <w:lang w:val="en-CA" w:eastAsia="en-CA"/>
        </w:rPr>
        <w:t>nkle joint</w:t>
      </w:r>
      <w:r w:rsidR="007D4D09">
        <w:rPr>
          <w:lang w:val="en-CA" w:eastAsia="en-CA"/>
        </w:rPr>
        <w:t>.</w:t>
      </w:r>
      <w:r w:rsidRPr="00B010F2">
        <w:rPr>
          <w:lang w:val="en-CA" w:eastAsia="en-CA"/>
        </w:rPr>
        <w:t xml:space="preserve"> </w:t>
      </w:r>
      <w:r w:rsidR="007D4D09">
        <w:rPr>
          <w:lang w:val="en-CA" w:eastAsia="en-CA"/>
        </w:rPr>
        <w:t xml:space="preserve">The joint is shown to cover </w:t>
      </w:r>
      <w:r w:rsidR="00754C51">
        <w:rPr>
          <w:lang w:val="en-CA" w:eastAsia="en-CA"/>
        </w:rPr>
        <w:t xml:space="preserve">the </w:t>
      </w:r>
      <w:r w:rsidRPr="00B010F2">
        <w:rPr>
          <w:lang w:val="en-CA" w:eastAsia="en-CA"/>
        </w:rPr>
        <w:t>area where the leg and foot join, anatomically referred to as the "Malleolar Zone".</w:t>
      </w:r>
      <w:r w:rsidR="007D4D09">
        <w:rPr>
          <w:lang w:val="en-CA" w:eastAsia="en-CA"/>
        </w:rPr>
        <w:t xml:space="preserve"> Picture on the left shows the </w:t>
      </w:r>
      <w:r w:rsidR="00783417">
        <w:rPr>
          <w:lang w:val="en-CA" w:eastAsia="en-CA"/>
        </w:rPr>
        <w:t xml:space="preserve">medial </w:t>
      </w:r>
      <w:r w:rsidR="007D4D09">
        <w:rPr>
          <w:lang w:val="en-CA" w:eastAsia="en-CA"/>
        </w:rPr>
        <w:t xml:space="preserve">view and the </w:t>
      </w:r>
      <w:r w:rsidR="007D4D09">
        <w:rPr>
          <w:lang w:val="en-CA" w:eastAsia="en-CA"/>
        </w:rPr>
        <w:lastRenderedPageBreak/>
        <w:t xml:space="preserve">picture on the right shows </w:t>
      </w:r>
      <w:r w:rsidR="00622508">
        <w:rPr>
          <w:lang w:val="en-CA" w:eastAsia="en-CA"/>
        </w:rPr>
        <w:t xml:space="preserve">lateral </w:t>
      </w:r>
      <w:r w:rsidR="007D4D09">
        <w:rPr>
          <w:lang w:val="en-CA" w:eastAsia="en-CA"/>
        </w:rPr>
        <w:t xml:space="preserve">view of the </w:t>
      </w:r>
      <w:r w:rsidR="00396658">
        <w:rPr>
          <w:lang w:val="en-CA" w:eastAsia="en-CA"/>
        </w:rPr>
        <w:t xml:space="preserve">same </w:t>
      </w:r>
      <w:r w:rsidR="007D4D09">
        <w:rPr>
          <w:lang w:val="en-CA" w:eastAsia="en-CA"/>
        </w:rPr>
        <w:t>ankle joint.</w:t>
      </w:r>
      <w:r w:rsidR="00396658">
        <w:rPr>
          <w:lang w:val="en-CA" w:eastAsia="en-CA"/>
        </w:rPr>
        <w:t xml:space="preserve"> In the middle of the image there are lines pointing to the section of the foot in each view that represents the malleolar zone and the mid foot zone respectfully.</w:t>
      </w:r>
    </w:p>
    <w:p w14:paraId="74960945" w14:textId="77777777" w:rsidR="00B010F2" w:rsidRDefault="00B010F2" w:rsidP="00B010F2">
      <w:pPr>
        <w:rPr>
          <w:lang w:val="en-CA" w:eastAsia="en-CA"/>
        </w:rPr>
      </w:pPr>
    </w:p>
    <w:p w14:paraId="6EB1779A" w14:textId="77777777" w:rsidR="00B010F2" w:rsidRDefault="00B010F2" w:rsidP="00B010F2">
      <w:pPr>
        <w:rPr>
          <w:lang w:val="en-CA" w:eastAsia="en-CA"/>
        </w:rPr>
      </w:pPr>
      <w:r>
        <w:rPr>
          <w:noProof/>
        </w:rPr>
        <w:drawing>
          <wp:inline distT="0" distB="0" distL="0" distR="0" wp14:anchorId="1EFF0029" wp14:editId="34BA2524">
            <wp:extent cx="5886450" cy="3382010"/>
            <wp:effectExtent l="0" t="0" r="0" b="8890"/>
            <wp:docPr id="244482288" name="Picture 3" descr="Figure 2: One image containing two pictures of the human ankle joint that illustrates and identifies the different parts of the foot from different viewpoints: Tibia and Fibula bones; Forefoot, Midfoot and Hindfoot. Picture in the top left is a view of the top of the foot. The larger picture on the right is a side view of the same fo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82288" name="Picture 3" descr="Figure 2: One image containing two pictures of the human ankle joint that illustrates and identifies the different parts of the foot from different viewpoints: Tibia and Fibula bones; Forefoot, Midfoot and Hindfoot. Picture in the top left is a view of the top of the foot. The larger picture on the right is a side view of the same foo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3382010"/>
                    </a:xfrm>
                    <a:prstGeom prst="rect">
                      <a:avLst/>
                    </a:prstGeom>
                    <a:noFill/>
                    <a:ln>
                      <a:noFill/>
                    </a:ln>
                  </pic:spPr>
                </pic:pic>
              </a:graphicData>
            </a:graphic>
          </wp:inline>
        </w:drawing>
      </w:r>
    </w:p>
    <w:p w14:paraId="22419222" w14:textId="4654D43F" w:rsidR="00B010F2" w:rsidRPr="00B010F2" w:rsidRDefault="00B010F2" w:rsidP="00B010F2">
      <w:pPr>
        <w:rPr>
          <w:lang w:val="en-CA" w:eastAsia="en-CA"/>
        </w:rPr>
      </w:pPr>
      <w:r w:rsidRPr="00B010F2">
        <w:rPr>
          <w:lang w:val="en-CA" w:eastAsia="en-CA"/>
        </w:rPr>
        <w:t xml:space="preserve">Figure 2: </w:t>
      </w:r>
      <w:r w:rsidR="0057600E">
        <w:rPr>
          <w:lang w:val="en-CA" w:eastAsia="en-CA"/>
        </w:rPr>
        <w:t>One image containing t</w:t>
      </w:r>
      <w:r w:rsidR="009328BE">
        <w:rPr>
          <w:lang w:val="en-CA" w:eastAsia="en-CA"/>
        </w:rPr>
        <w:t>wo pictures of the human a</w:t>
      </w:r>
      <w:r w:rsidRPr="00B010F2">
        <w:rPr>
          <w:lang w:val="en-CA" w:eastAsia="en-CA"/>
        </w:rPr>
        <w:t xml:space="preserve">nkle joint </w:t>
      </w:r>
      <w:r w:rsidR="009328BE">
        <w:rPr>
          <w:lang w:val="en-CA" w:eastAsia="en-CA"/>
        </w:rPr>
        <w:t xml:space="preserve">that illustrates </w:t>
      </w:r>
      <w:r w:rsidR="00301C0F">
        <w:rPr>
          <w:lang w:val="en-CA" w:eastAsia="en-CA"/>
        </w:rPr>
        <w:t xml:space="preserve">and identifies </w:t>
      </w:r>
      <w:r w:rsidR="009328BE">
        <w:rPr>
          <w:lang w:val="en-CA" w:eastAsia="en-CA"/>
        </w:rPr>
        <w:t>the different parts of the foot from different viewpoints:</w:t>
      </w:r>
      <w:r w:rsidRPr="00B010F2">
        <w:rPr>
          <w:lang w:val="en-CA" w:eastAsia="en-CA"/>
        </w:rPr>
        <w:t xml:space="preserve"> </w:t>
      </w:r>
      <w:r w:rsidR="000E2754" w:rsidRPr="000E2754">
        <w:rPr>
          <w:lang w:val="en-CA" w:eastAsia="en-CA"/>
        </w:rPr>
        <w:t>Tibia and Fibula bones</w:t>
      </w:r>
      <w:r w:rsidR="000E2754">
        <w:rPr>
          <w:lang w:val="en-CA" w:eastAsia="en-CA"/>
        </w:rPr>
        <w:t xml:space="preserve">; </w:t>
      </w:r>
      <w:r w:rsidRPr="00B010F2">
        <w:rPr>
          <w:lang w:val="en-CA" w:eastAsia="en-CA"/>
        </w:rPr>
        <w:t>Forefoot, Midfoot and Hindfoot.</w:t>
      </w:r>
      <w:r w:rsidR="009328BE">
        <w:rPr>
          <w:lang w:val="en-CA" w:eastAsia="en-CA"/>
        </w:rPr>
        <w:t xml:space="preserve"> Picture in the top left is a view of the top of the foot. The larger picture on the right is a side view of the same foot. </w:t>
      </w:r>
    </w:p>
    <w:p w14:paraId="066C6A58" w14:textId="0EFD93BF" w:rsidR="00FF4E4A" w:rsidRDefault="00FF4E4A" w:rsidP="00212804">
      <w:pPr>
        <w:pStyle w:val="Heading2"/>
      </w:pPr>
      <w:bookmarkStart w:id="24" w:name="_References"/>
      <w:bookmarkEnd w:id="24"/>
      <w:r>
        <w:t>References</w:t>
      </w:r>
    </w:p>
    <w:p w14:paraId="2835FFAC" w14:textId="2CD3BED0" w:rsidR="004E4C7A" w:rsidRDefault="00FF4E4A" w:rsidP="00212804">
      <w:pPr>
        <w:rPr>
          <w:lang w:eastAsia="en-CA"/>
        </w:rPr>
      </w:pPr>
      <w:r w:rsidRPr="009D656D">
        <w:rPr>
          <w:lang w:eastAsia="en-CA"/>
        </w:rPr>
        <w:t>Consult these resources for further information.</w:t>
      </w:r>
    </w:p>
    <w:p w14:paraId="63C62200" w14:textId="77777777" w:rsidR="004E4C7A" w:rsidRPr="00C36FBF" w:rsidRDefault="004E4C7A" w:rsidP="00C36FBF">
      <w:pPr>
        <w:pStyle w:val="Heading3"/>
      </w:pPr>
      <w:bookmarkStart w:id="25" w:name="_Applicable_legislation"/>
      <w:bookmarkEnd w:id="25"/>
      <w:r w:rsidRPr="00C36FBF">
        <w:t xml:space="preserve">Applicable legislation </w:t>
      </w:r>
    </w:p>
    <w:p w14:paraId="738EA172" w14:textId="558418BA" w:rsidR="00783DFC" w:rsidRDefault="004E4C7A" w:rsidP="00212804">
      <w:pPr>
        <w:pStyle w:val="ListParagraph"/>
        <w:numPr>
          <w:ilvl w:val="0"/>
          <w:numId w:val="39"/>
        </w:numPr>
        <w:rPr>
          <w:rStyle w:val="Hyperlink"/>
          <w:lang w:eastAsia="en-CA"/>
        </w:rPr>
      </w:pPr>
      <w:hyperlink r:id="rId17" w:history="1">
        <w:r w:rsidRPr="004E4C7A">
          <w:rPr>
            <w:rStyle w:val="Hyperlink"/>
            <w:lang w:eastAsia="en-CA"/>
          </w:rPr>
          <w:t>Customs Tariff</w:t>
        </w:r>
      </w:hyperlink>
    </w:p>
    <w:p w14:paraId="100A0B9B" w14:textId="47B56D10" w:rsidR="00783DFC" w:rsidRDefault="00783DFC" w:rsidP="00783DFC">
      <w:pPr>
        <w:pStyle w:val="Heading3"/>
      </w:pPr>
      <w:bookmarkStart w:id="26" w:name="_Related_D_memoranda"/>
      <w:bookmarkStart w:id="27" w:name="_Hlk210046577"/>
      <w:bookmarkEnd w:id="26"/>
      <w:r>
        <w:t>Related D memoranda</w:t>
      </w:r>
    </w:p>
    <w:bookmarkEnd w:id="27"/>
    <w:p w14:paraId="6C8C9723" w14:textId="67D8218C" w:rsidR="004E4C7A" w:rsidRPr="009C7FC0" w:rsidRDefault="009C7FC0" w:rsidP="00783DFC">
      <w:pPr>
        <w:pStyle w:val="ListParagraph"/>
        <w:numPr>
          <w:ilvl w:val="0"/>
          <w:numId w:val="39"/>
        </w:numPr>
        <w:rPr>
          <w:rStyle w:val="Hyperlink"/>
          <w:lang w:eastAsia="en-CA"/>
        </w:rPr>
      </w:pPr>
      <w:r>
        <w:rPr>
          <w:shd w:val="clear" w:color="auto" w:fill="FFFFFF"/>
        </w:rPr>
        <w:fldChar w:fldCharType="begin"/>
      </w:r>
      <w:r>
        <w:rPr>
          <w:shd w:val="clear" w:color="auto" w:fill="FFFFFF"/>
        </w:rPr>
        <w:instrText>HYPERLINK "https://www.cbsa-asfc.gc.ca/publications/dm-md/d11/d11-11-3-eng.html"</w:instrText>
      </w:r>
      <w:r>
        <w:rPr>
          <w:shd w:val="clear" w:color="auto" w:fill="FFFFFF"/>
        </w:rPr>
      </w:r>
      <w:r>
        <w:rPr>
          <w:shd w:val="clear" w:color="auto" w:fill="FFFFFF"/>
        </w:rPr>
        <w:fldChar w:fldCharType="separate"/>
      </w:r>
      <w:r w:rsidR="004E4C7A" w:rsidRPr="009C7FC0">
        <w:rPr>
          <w:rStyle w:val="Hyperlink"/>
          <w:shd w:val="clear" w:color="auto" w:fill="FFFFFF"/>
        </w:rPr>
        <w:t>D11-11-3</w:t>
      </w:r>
      <w:r w:rsidR="000E2754" w:rsidRPr="009C7FC0">
        <w:rPr>
          <w:rStyle w:val="Hyperlink"/>
          <w:shd w:val="clear" w:color="auto" w:fill="FFFFFF"/>
        </w:rPr>
        <w:t>: Advance Rulings for Tariff Classification</w:t>
      </w:r>
    </w:p>
    <w:bookmarkStart w:id="28" w:name="_Issuing_office"/>
    <w:bookmarkEnd w:id="28"/>
    <w:p w14:paraId="33D9C839" w14:textId="15CCDA5F" w:rsidR="00FF4E4A" w:rsidRDefault="009C7FC0" w:rsidP="00C36FBF">
      <w:pPr>
        <w:pStyle w:val="Heading3"/>
      </w:pPr>
      <w:r>
        <w:rPr>
          <w:sz w:val="24"/>
          <w:szCs w:val="22"/>
          <w:shd w:val="clear" w:color="auto" w:fill="FFFFFF"/>
          <w:lang w:val="en-CA" w:eastAsia="en-US"/>
        </w:rPr>
        <w:lastRenderedPageBreak/>
        <w:fldChar w:fldCharType="end"/>
      </w:r>
      <w:r w:rsidR="00FF4E4A" w:rsidRPr="00B3754B">
        <w:t>Issuing office</w:t>
      </w:r>
    </w:p>
    <w:p w14:paraId="5B231975" w14:textId="297B7D39" w:rsidR="00922954" w:rsidRDefault="00922954" w:rsidP="00212804">
      <w:r>
        <w:t>T</w:t>
      </w:r>
      <w:r w:rsidR="00302645">
        <w:t>ariff Classification, Origin and Valuation</w:t>
      </w:r>
      <w:r>
        <w:t xml:space="preserve"> Division</w:t>
      </w:r>
    </w:p>
    <w:p w14:paraId="563CBED5" w14:textId="73D585AC" w:rsidR="00FF4E4A" w:rsidRPr="009D656D" w:rsidRDefault="00922954" w:rsidP="00212804">
      <w:r>
        <w:t xml:space="preserve">Trade </w:t>
      </w:r>
      <w:r w:rsidR="00FF4E4A" w:rsidRPr="009D656D">
        <w:rPr>
          <w:shd w:val="clear" w:color="auto" w:fill="FFFFFF"/>
        </w:rPr>
        <w:t>Program</w:t>
      </w:r>
      <w:r>
        <w:rPr>
          <w:shd w:val="clear" w:color="auto" w:fill="FFFFFF"/>
        </w:rPr>
        <w:t>s</w:t>
      </w:r>
      <w:r w:rsidR="00FF4E4A" w:rsidRPr="009D656D">
        <w:rPr>
          <w:shd w:val="clear" w:color="auto" w:fill="FFFFFF"/>
        </w:rPr>
        <w:t xml:space="preserve"> </w:t>
      </w:r>
      <w:r>
        <w:rPr>
          <w:shd w:val="clear" w:color="auto" w:fill="FFFFFF"/>
        </w:rPr>
        <w:t>Directorate</w:t>
      </w:r>
      <w:r w:rsidR="00FF4E4A" w:rsidRPr="009D656D">
        <w:br/>
      </w:r>
      <w:r>
        <w:rPr>
          <w:shd w:val="clear" w:color="auto" w:fill="FFFFFF"/>
        </w:rPr>
        <w:t>Commercial and Trade Branch</w:t>
      </w:r>
    </w:p>
    <w:p w14:paraId="7371C898" w14:textId="77777777" w:rsidR="00FF4E4A" w:rsidRDefault="00FF4E4A" w:rsidP="00212804">
      <w:pPr>
        <w:pStyle w:val="Heading2"/>
      </w:pPr>
      <w:bookmarkStart w:id="29" w:name="_Contact_us"/>
      <w:bookmarkEnd w:id="29"/>
      <w:r>
        <w:t>Contact us</w:t>
      </w:r>
    </w:p>
    <w:p w14:paraId="205CF9BF" w14:textId="77777777" w:rsidR="00FF4E4A" w:rsidRPr="009D656D" w:rsidRDefault="00FF4E4A" w:rsidP="00212804">
      <w:hyperlink r:id="rId18" w:history="1">
        <w:r w:rsidRPr="009D656D">
          <w:rPr>
            <w:rStyle w:val="Hyperlink"/>
            <w:rFonts w:eastAsiaTheme="minorHAnsi"/>
          </w:rPr>
          <w:t>Contact border information services</w:t>
        </w:r>
      </w:hyperlink>
    </w:p>
    <w:p w14:paraId="6BBE8E91" w14:textId="524BF36C" w:rsidR="009B3AD1" w:rsidRPr="009B3AD1" w:rsidRDefault="00FF4E4A" w:rsidP="0083176D">
      <w:pPr>
        <w:pStyle w:val="Heading2"/>
      </w:pPr>
      <w:bookmarkStart w:id="30" w:name="_Related_links"/>
      <w:bookmarkEnd w:id="30"/>
      <w:r w:rsidRPr="00BE1EA5">
        <w:t>Metadata table</w:t>
      </w:r>
    </w:p>
    <w:tbl>
      <w:tblPr>
        <w:tblStyle w:val="TableGrid"/>
        <w:tblW w:w="5000" w:type="pct"/>
        <w:tblLook w:val="04A0" w:firstRow="1" w:lastRow="0" w:firstColumn="1" w:lastColumn="0" w:noHBand="0" w:noVBand="1"/>
      </w:tblPr>
      <w:tblGrid>
        <w:gridCol w:w="5380"/>
        <w:gridCol w:w="3880"/>
      </w:tblGrid>
      <w:tr w:rsidR="000E54DA" w:rsidRPr="00731650" w14:paraId="0D5D9F98" w14:textId="77777777" w:rsidTr="000E54DA">
        <w:trPr>
          <w:trHeight w:val="480"/>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12C01" w14:textId="77777777" w:rsidR="0083176D" w:rsidRDefault="000E54DA" w:rsidP="00FE5A6D">
            <w:pPr>
              <w:spacing w:before="120" w:after="120"/>
              <w:rPr>
                <w:b/>
                <w:sz w:val="18"/>
                <w:szCs w:val="18"/>
                <w:lang w:eastAsia="en-CA"/>
              </w:rPr>
            </w:pPr>
            <w:r w:rsidRPr="00731650">
              <w:rPr>
                <w:b/>
                <w:sz w:val="18"/>
                <w:szCs w:val="18"/>
                <w:lang w:eastAsia="en-CA"/>
              </w:rPr>
              <w:t>Description</w:t>
            </w:r>
          </w:p>
          <w:p w14:paraId="631256A5" w14:textId="70BCBF62" w:rsidR="000E54DA" w:rsidRPr="00731650" w:rsidRDefault="000E54DA" w:rsidP="00FE5A6D">
            <w:pPr>
              <w:spacing w:before="120" w:after="120"/>
              <w:rPr>
                <w:b/>
                <w:bCs/>
                <w:sz w:val="20"/>
                <w:szCs w:val="20"/>
              </w:rPr>
            </w:pPr>
            <w:r w:rsidRPr="00731650">
              <w:rPr>
                <w:b/>
                <w:sz w:val="18"/>
                <w:szCs w:val="18"/>
                <w:lang w:eastAsia="en-CA"/>
              </w:rPr>
              <w:br/>
            </w:r>
          </w:p>
        </w:tc>
        <w:tc>
          <w:tcPr>
            <w:tcW w:w="2095" w:type="pct"/>
            <w:tcBorders>
              <w:top w:val="single" w:sz="4" w:space="0" w:color="auto"/>
              <w:left w:val="single" w:sz="4" w:space="0" w:color="auto"/>
              <w:bottom w:val="single" w:sz="4" w:space="0" w:color="auto"/>
              <w:right w:val="single" w:sz="4" w:space="0" w:color="auto"/>
            </w:tcBorders>
          </w:tcPr>
          <w:p w14:paraId="5192F213" w14:textId="36F35B83" w:rsidR="000E54DA" w:rsidRPr="00731650" w:rsidRDefault="009B3AD1" w:rsidP="00FE5A6D">
            <w:pPr>
              <w:spacing w:before="120" w:after="120"/>
              <w:rPr>
                <w:bCs/>
                <w:sz w:val="20"/>
                <w:szCs w:val="20"/>
              </w:rPr>
            </w:pPr>
            <w:r w:rsidRPr="009B3AD1">
              <w:rPr>
                <w:bCs/>
                <w:sz w:val="20"/>
              </w:rPr>
              <w:t>This memorandum outlines the CBSA’s administrative tariff classification policy of footwear, covering the ankle.</w:t>
            </w:r>
          </w:p>
        </w:tc>
      </w:tr>
      <w:tr w:rsidR="000E54DA" w:rsidRPr="00731650" w14:paraId="02794718" w14:textId="77777777" w:rsidTr="0083176D">
        <w:trPr>
          <w:trHeight w:val="947"/>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C031C8" w14:textId="77777777" w:rsidR="000E54DA" w:rsidRPr="008A1CE6" w:rsidRDefault="000E54DA" w:rsidP="00FE5A6D">
            <w:pPr>
              <w:spacing w:before="120"/>
              <w:rPr>
                <w:b/>
                <w:sz w:val="18"/>
                <w:szCs w:val="18"/>
                <w:lang w:eastAsia="en-CA"/>
              </w:rPr>
            </w:pPr>
            <w:r w:rsidRPr="008A1CE6">
              <w:rPr>
                <w:b/>
                <w:sz w:val="18"/>
                <w:szCs w:val="18"/>
                <w:lang w:eastAsia="en-CA"/>
              </w:rPr>
              <w:t>Subject</w:t>
            </w:r>
          </w:p>
          <w:p w14:paraId="5163A304" w14:textId="158B4F83" w:rsidR="000E54DA" w:rsidRPr="00731650" w:rsidRDefault="000E54DA" w:rsidP="00FE5A6D">
            <w:pPr>
              <w:spacing w:before="120" w:after="120"/>
              <w:rPr>
                <w:b/>
                <w:sz w:val="18"/>
                <w:szCs w:val="18"/>
                <w:lang w:eastAsia="en-CA"/>
              </w:rPr>
            </w:pPr>
          </w:p>
        </w:tc>
        <w:tc>
          <w:tcPr>
            <w:tcW w:w="2095" w:type="pct"/>
            <w:tcBorders>
              <w:top w:val="single" w:sz="4" w:space="0" w:color="auto"/>
              <w:left w:val="single" w:sz="4" w:space="0" w:color="auto"/>
              <w:bottom w:val="single" w:sz="4" w:space="0" w:color="auto"/>
              <w:right w:val="single" w:sz="4" w:space="0" w:color="auto"/>
            </w:tcBorders>
          </w:tcPr>
          <w:p w14:paraId="7671AFFC" w14:textId="02F8CDC9" w:rsidR="000E54DA" w:rsidRPr="00731650" w:rsidRDefault="00C36FBF" w:rsidP="00FE3051">
            <w:pPr>
              <w:spacing w:before="120" w:after="120"/>
              <w:rPr>
                <w:bCs/>
                <w:sz w:val="20"/>
                <w:szCs w:val="20"/>
              </w:rPr>
            </w:pPr>
            <w:r w:rsidRPr="00366B48">
              <w:rPr>
                <w:bCs/>
                <w:sz w:val="20"/>
              </w:rPr>
              <w:t>Policy; Trade; Border Crossing; Customs and excise</w:t>
            </w:r>
          </w:p>
        </w:tc>
      </w:tr>
      <w:tr w:rsidR="000E54DA" w:rsidRPr="00731650" w14:paraId="59D15DC0" w14:textId="77777777" w:rsidTr="000E54DA">
        <w:trPr>
          <w:trHeight w:val="99"/>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9109B" w14:textId="77777777" w:rsidR="000E54DA" w:rsidRPr="00731650" w:rsidRDefault="000E54DA" w:rsidP="00FE5A6D">
            <w:pPr>
              <w:spacing w:before="120" w:after="120"/>
              <w:rPr>
                <w:b/>
                <w:bCs/>
                <w:sz w:val="20"/>
                <w:szCs w:val="20"/>
              </w:rPr>
            </w:pPr>
            <w:r w:rsidRPr="00731650">
              <w:rPr>
                <w:b/>
                <w:sz w:val="18"/>
                <w:szCs w:val="18"/>
                <w:lang w:eastAsia="en-CA"/>
              </w:rPr>
              <w:t>Keywords</w:t>
            </w:r>
          </w:p>
        </w:tc>
        <w:tc>
          <w:tcPr>
            <w:tcW w:w="2095" w:type="pct"/>
            <w:tcBorders>
              <w:top w:val="single" w:sz="4" w:space="0" w:color="auto"/>
              <w:left w:val="single" w:sz="4" w:space="0" w:color="auto"/>
              <w:bottom w:val="single" w:sz="4" w:space="0" w:color="auto"/>
              <w:right w:val="single" w:sz="4" w:space="0" w:color="auto"/>
            </w:tcBorders>
          </w:tcPr>
          <w:p w14:paraId="4DEEB638" w14:textId="254A6FB7" w:rsidR="000E54DA" w:rsidRPr="00731650" w:rsidRDefault="00C36FBF" w:rsidP="00FE5A6D">
            <w:pPr>
              <w:spacing w:before="120" w:after="120"/>
              <w:rPr>
                <w:bCs/>
                <w:sz w:val="20"/>
                <w:szCs w:val="20"/>
              </w:rPr>
            </w:pPr>
            <w:r w:rsidRPr="00366B48">
              <w:rPr>
                <w:bCs/>
                <w:sz w:val="20"/>
              </w:rPr>
              <w:t>Departmental memoranda, memorandum, legislation</w:t>
            </w:r>
            <w:r w:rsidR="003B5CA5">
              <w:rPr>
                <w:bCs/>
                <w:sz w:val="20"/>
              </w:rPr>
              <w:t>, footwear, ankle, shoes, covering the ankle</w:t>
            </w:r>
          </w:p>
        </w:tc>
      </w:tr>
      <w:tr w:rsidR="000E54DA" w:rsidRPr="00731650" w14:paraId="365112A3" w14:textId="77777777" w:rsidTr="000E54DA">
        <w:trPr>
          <w:trHeight w:val="99"/>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66C8F" w14:textId="77777777" w:rsidR="000E54DA" w:rsidRPr="00731650" w:rsidRDefault="000E54DA" w:rsidP="00FE5A6D">
            <w:pPr>
              <w:spacing w:before="120" w:after="120"/>
              <w:rPr>
                <w:b/>
                <w:sz w:val="18"/>
                <w:szCs w:val="18"/>
                <w:lang w:eastAsia="en-CA"/>
              </w:rPr>
            </w:pPr>
            <w:r>
              <w:rPr>
                <w:b/>
                <w:sz w:val="18"/>
                <w:szCs w:val="18"/>
                <w:lang w:eastAsia="en-CA"/>
              </w:rPr>
              <w:t>Content owner</w:t>
            </w:r>
          </w:p>
        </w:tc>
        <w:tc>
          <w:tcPr>
            <w:tcW w:w="2095" w:type="pct"/>
            <w:tcBorders>
              <w:top w:val="single" w:sz="4" w:space="0" w:color="auto"/>
              <w:left w:val="single" w:sz="4" w:space="0" w:color="auto"/>
              <w:bottom w:val="single" w:sz="4" w:space="0" w:color="auto"/>
              <w:right w:val="single" w:sz="4" w:space="0" w:color="auto"/>
            </w:tcBorders>
          </w:tcPr>
          <w:p w14:paraId="217F93AD" w14:textId="479A6989" w:rsidR="000E54DA" w:rsidRPr="00731650" w:rsidRDefault="0083176D" w:rsidP="00FE5A6D">
            <w:pPr>
              <w:spacing w:before="120" w:after="120"/>
              <w:rPr>
                <w:bCs/>
                <w:sz w:val="20"/>
                <w:szCs w:val="20"/>
              </w:rPr>
            </w:pPr>
            <w:r w:rsidRPr="001D7F53">
              <w:rPr>
                <w:sz w:val="20"/>
                <w:szCs w:val="20"/>
              </w:rPr>
              <w:t>Canada Border Services Agency &gt; Commercial and Trade &gt; Trade and Anti-dumping Programs &gt; Tra</w:t>
            </w:r>
            <w:r>
              <w:rPr>
                <w:sz w:val="20"/>
                <w:szCs w:val="20"/>
              </w:rPr>
              <w:t>de Policy &gt; Tariff Policy Unit A</w:t>
            </w:r>
          </w:p>
        </w:tc>
      </w:tr>
    </w:tbl>
    <w:p w14:paraId="378F54D6" w14:textId="77777777" w:rsidR="00EB6258" w:rsidRPr="00321765" w:rsidRDefault="00EB6258" w:rsidP="00212804">
      <w:pPr>
        <w:rPr>
          <w:lang w:val="en-CA"/>
        </w:rPr>
      </w:pPr>
    </w:p>
    <w:sectPr w:rsidR="00EB6258" w:rsidRPr="00321765" w:rsidSect="00321765">
      <w:headerReference w:type="even" r:id="rId19"/>
      <w:headerReference w:type="default" r:id="rId20"/>
      <w:footerReference w:type="even" r:id="rId21"/>
      <w:footerReference w:type="default" r:id="rId22"/>
      <w:headerReference w:type="first" r:id="rId23"/>
      <w:footerReference w:type="first" r:id="rId24"/>
      <w:pgSz w:w="12240" w:h="15840"/>
      <w:pgMar w:top="1858" w:right="1440" w:bottom="1858" w:left="153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BDF2" w14:textId="77777777" w:rsidR="00A24C41" w:rsidRDefault="00A24C41" w:rsidP="00212804">
      <w:r>
        <w:separator/>
      </w:r>
    </w:p>
  </w:endnote>
  <w:endnote w:type="continuationSeparator" w:id="0">
    <w:p w14:paraId="5C9DBD6E" w14:textId="77777777" w:rsidR="00A24C41" w:rsidRDefault="00A24C41" w:rsidP="0021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EF2C" w14:textId="77777777" w:rsidR="00B35273" w:rsidRDefault="00B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95184"/>
      <w:docPartObj>
        <w:docPartGallery w:val="Page Numbers (Bottom of Page)"/>
        <w:docPartUnique/>
      </w:docPartObj>
    </w:sdtPr>
    <w:sdtEndPr>
      <w:rPr>
        <w:noProof/>
      </w:rPr>
    </w:sdtEndPr>
    <w:sdtContent>
      <w:p w14:paraId="58AB048D" w14:textId="6C6D5BF1" w:rsidR="00327547" w:rsidRDefault="00327547" w:rsidP="00212804">
        <w:pPr>
          <w:pStyle w:val="Footer"/>
        </w:pPr>
        <w:r>
          <w:fldChar w:fldCharType="begin"/>
        </w:r>
        <w:r>
          <w:instrText xml:space="preserve"> PAGE   \* MERGEFORMAT </w:instrText>
        </w:r>
        <w:r>
          <w:fldChar w:fldCharType="separate"/>
        </w:r>
        <w:r w:rsidR="00A31A2F">
          <w:rPr>
            <w:noProof/>
          </w:rPr>
          <w:t>5</w:t>
        </w:r>
        <w:r>
          <w:rPr>
            <w:noProof/>
          </w:rPr>
          <w:fldChar w:fldCharType="end"/>
        </w:r>
      </w:p>
    </w:sdtContent>
  </w:sdt>
  <w:p w14:paraId="33DA683F" w14:textId="77777777" w:rsidR="00075137" w:rsidRPr="006E0AD7" w:rsidRDefault="00075137" w:rsidP="00212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BE55" w14:textId="77777777" w:rsidR="007674AA" w:rsidRDefault="00E563C7" w:rsidP="00212804">
    <w:pPr>
      <w:pStyle w:val="Footer"/>
    </w:pPr>
    <w:r>
      <w:rPr>
        <w:noProof/>
        <w:lang w:val="fr-CA" w:eastAsia="fr-CA"/>
      </w:rPr>
      <w:drawing>
        <wp:inline distT="0" distB="0" distL="0" distR="0" wp14:anchorId="6AE664D6" wp14:editId="22CA25F2">
          <wp:extent cx="1078992" cy="274320"/>
          <wp:effectExtent l="0" t="0" r="6985"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274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E33B" w14:textId="77777777" w:rsidR="00A24C41" w:rsidRDefault="00A24C41" w:rsidP="00212804">
      <w:r>
        <w:separator/>
      </w:r>
    </w:p>
  </w:footnote>
  <w:footnote w:type="continuationSeparator" w:id="0">
    <w:p w14:paraId="6C62E47E" w14:textId="77777777" w:rsidR="00A24C41" w:rsidRDefault="00A24C41" w:rsidP="0021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3169" w14:textId="0F9E004F" w:rsidR="00075137" w:rsidRDefault="00000000" w:rsidP="00212804">
    <w:pPr>
      <w:pStyle w:val="Header"/>
      <w:rPr>
        <w:rStyle w:val="PageNumber"/>
      </w:rPr>
    </w:pPr>
    <w:r>
      <w:rPr>
        <w:noProof/>
      </w:rPr>
      <w:pict w14:anchorId="0C46B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79" o:spid="_x0000_s1026" type="#_x0000_t136" style="position:absolute;margin-left:0;margin-top:0;width:332.25pt;height:111.75pt;rotation:315;z-index:-251655168;mso-position-horizontal:center;mso-position-horizontal-relative:margin;mso-position-vertical:center;mso-position-vertical-relative:margin" o:allowincell="f" fillcolor="red" stroked="f">
          <v:fill opacity=".5"/>
          <v:textpath style="font-family:&quot;Arial&quot;;font-size:100pt" string="DRAFT"/>
          <w10:wrap anchorx="margin" anchory="margin"/>
        </v:shape>
      </w:pict>
    </w:r>
    <w:r w:rsidR="00075137">
      <w:rPr>
        <w:rStyle w:val="PageNumber"/>
      </w:rPr>
      <w:fldChar w:fldCharType="begin"/>
    </w:r>
    <w:r w:rsidR="00075137">
      <w:rPr>
        <w:rStyle w:val="PageNumber"/>
      </w:rPr>
      <w:instrText xml:space="preserve">PAGE  </w:instrText>
    </w:r>
    <w:r w:rsidR="00075137">
      <w:rPr>
        <w:rStyle w:val="PageNumber"/>
      </w:rPr>
      <w:fldChar w:fldCharType="end"/>
    </w:r>
  </w:p>
  <w:p w14:paraId="0AE064A3" w14:textId="77777777" w:rsidR="00075137" w:rsidRDefault="00075137" w:rsidP="00212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6A54" w14:textId="2DB1B4BA" w:rsidR="00075137" w:rsidRDefault="00000000" w:rsidP="00212804">
    <w:pPr>
      <w:pStyle w:val="Header"/>
    </w:pPr>
    <w:r>
      <w:rPr>
        <w:noProof/>
      </w:rPr>
      <w:pict w14:anchorId="3E17A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80" o:spid="_x0000_s1027" type="#_x0000_t136" style="position:absolute;margin-left:0;margin-top:0;width:332.25pt;height:111.75pt;rotation:315;z-index:-251653120;mso-position-horizontal:center;mso-position-horizontal-relative:margin;mso-position-vertical:center;mso-position-vertical-relative:margin" o:allowincell="f" fillcolor="red" stroked="f">
          <v:fill opacity=".5"/>
          <v:textpath style="font-family:&quot;Arial&quot;;font-size:100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EC63" w14:textId="0D9BF1CC" w:rsidR="00075137" w:rsidRDefault="00000000" w:rsidP="00212804">
    <w:pPr>
      <w:pStyle w:val="Header"/>
    </w:pPr>
    <w:r>
      <w:rPr>
        <w:noProof/>
      </w:rPr>
      <w:pict w14:anchorId="63A00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078" o:spid="_x0000_s1025" type="#_x0000_t136" style="position:absolute;margin-left:0;margin-top:0;width:332.25pt;height:111.75pt;rotation:315;z-index:-251657216;mso-position-horizontal:center;mso-position-horizontal-relative:margin;mso-position-vertical:center;mso-position-vertical-relative:margin" o:allowincell="f" fillcolor="red" stroked="f">
          <v:fill opacity=".5"/>
          <v:textpath style="font-family:&quot;Arial&quot;;font-size:100pt" string="DRAFT"/>
          <w10:wrap anchorx="margin" anchory="margin"/>
        </v:shape>
      </w:pict>
    </w:r>
    <w:r w:rsidR="00E563C7">
      <w:rPr>
        <w:noProof/>
        <w:lang w:val="fr-CA" w:eastAsia="fr-CA"/>
      </w:rPr>
      <w:drawing>
        <wp:inline distT="0" distB="0" distL="0" distR="0" wp14:anchorId="3BAA6DE3" wp14:editId="0FBB62CE">
          <wp:extent cx="2459736" cy="210312"/>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9736" cy="210312"/>
                  </a:xfrm>
                  <a:prstGeom prst="rect">
                    <a:avLst/>
                  </a:prstGeom>
                  <a:noFill/>
                  <a:ln>
                    <a:noFill/>
                  </a:ln>
                </pic:spPr>
              </pic:pic>
            </a:graphicData>
          </a:graphic>
        </wp:inline>
      </w:drawing>
    </w:r>
  </w:p>
  <w:p w14:paraId="1E456477" w14:textId="77777777" w:rsidR="00075137" w:rsidRPr="008E1F06" w:rsidRDefault="00075137" w:rsidP="002128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EDA"/>
    <w:multiLevelType w:val="hybridMultilevel"/>
    <w:tmpl w:val="7906504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054C6B45"/>
    <w:multiLevelType w:val="multilevel"/>
    <w:tmpl w:val="F92EDE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5BF0EC9"/>
    <w:multiLevelType w:val="hybridMultilevel"/>
    <w:tmpl w:val="F0E4E6B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62093"/>
    <w:multiLevelType w:val="hybridMultilevel"/>
    <w:tmpl w:val="B7ACFAA6"/>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A2852"/>
    <w:multiLevelType w:val="hybridMultilevel"/>
    <w:tmpl w:val="FB8008B4"/>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D369C"/>
    <w:multiLevelType w:val="hybridMultilevel"/>
    <w:tmpl w:val="8A9E6BE2"/>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A5660"/>
    <w:multiLevelType w:val="hybridMultilevel"/>
    <w:tmpl w:val="D4623C8C"/>
    <w:lvl w:ilvl="0" w:tplc="25D47AC2">
      <w:start w:val="1"/>
      <w:numFmt w:val="decimal"/>
      <w:lvlText w:val="%1."/>
      <w:lvlJc w:val="left"/>
      <w:pPr>
        <w:tabs>
          <w:tab w:val="num" w:pos="786"/>
        </w:tabs>
        <w:ind w:left="786" w:hanging="360"/>
      </w:pPr>
      <w:rPr>
        <w:rFonts w:hint="default"/>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0A0E7B86"/>
    <w:multiLevelType w:val="hybridMultilevel"/>
    <w:tmpl w:val="0C68719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0" w15:restartNumberingAfterBreak="0">
    <w:nsid w:val="0C8577CB"/>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8C0D13"/>
    <w:multiLevelType w:val="hybridMultilevel"/>
    <w:tmpl w:val="7E1ECF84"/>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97CAD"/>
    <w:multiLevelType w:val="hybridMultilevel"/>
    <w:tmpl w:val="AF5E4FAE"/>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F1F51E8"/>
    <w:multiLevelType w:val="hybridMultilevel"/>
    <w:tmpl w:val="DB1ECA1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cs="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cs="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cs="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15" w15:restartNumberingAfterBreak="0">
    <w:nsid w:val="1416433B"/>
    <w:multiLevelType w:val="hybridMultilevel"/>
    <w:tmpl w:val="E174B3E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4D431BE"/>
    <w:multiLevelType w:val="hybridMultilevel"/>
    <w:tmpl w:val="02FA75DE"/>
    <w:lvl w:ilvl="0" w:tplc="ECD652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A77BBC"/>
    <w:multiLevelType w:val="hybridMultilevel"/>
    <w:tmpl w:val="7E5851FA"/>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E210B0"/>
    <w:multiLevelType w:val="hybridMultilevel"/>
    <w:tmpl w:val="D6EE200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0549B"/>
    <w:multiLevelType w:val="hybridMultilevel"/>
    <w:tmpl w:val="1A02384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42164"/>
    <w:multiLevelType w:val="hybridMultilevel"/>
    <w:tmpl w:val="69D6A0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B404951"/>
    <w:multiLevelType w:val="hybridMultilevel"/>
    <w:tmpl w:val="3846554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7F10D5"/>
    <w:multiLevelType w:val="hybridMultilevel"/>
    <w:tmpl w:val="F92EDE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D547902"/>
    <w:multiLevelType w:val="hybridMultilevel"/>
    <w:tmpl w:val="4E16F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0C0564"/>
    <w:multiLevelType w:val="hybridMultilevel"/>
    <w:tmpl w:val="D4BA70F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11CF2"/>
    <w:multiLevelType w:val="hybridMultilevel"/>
    <w:tmpl w:val="3FC8265C"/>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647F4"/>
    <w:multiLevelType w:val="hybridMultilevel"/>
    <w:tmpl w:val="1C309DE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D7094"/>
    <w:multiLevelType w:val="hybridMultilevel"/>
    <w:tmpl w:val="52889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597E3E"/>
    <w:multiLevelType w:val="multilevel"/>
    <w:tmpl w:val="451A6AC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73CB7"/>
    <w:multiLevelType w:val="hybridMultilevel"/>
    <w:tmpl w:val="F8741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995A94"/>
    <w:multiLevelType w:val="hybridMultilevel"/>
    <w:tmpl w:val="590C9C9A"/>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5627AE"/>
    <w:multiLevelType w:val="hybridMultilevel"/>
    <w:tmpl w:val="06A668C8"/>
    <w:lvl w:ilvl="0" w:tplc="0FBA99A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322107"/>
    <w:multiLevelType w:val="hybridMultilevel"/>
    <w:tmpl w:val="9998EA60"/>
    <w:lvl w:ilvl="0" w:tplc="FE0CCA2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C0DF0"/>
    <w:multiLevelType w:val="hybridMultilevel"/>
    <w:tmpl w:val="4B207546"/>
    <w:lvl w:ilvl="0" w:tplc="4118B15A">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1CC1857"/>
    <w:multiLevelType w:val="hybridMultilevel"/>
    <w:tmpl w:val="129A0D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6E644B6F"/>
    <w:multiLevelType w:val="hybridMultilevel"/>
    <w:tmpl w:val="32C4DDB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C634B"/>
    <w:multiLevelType w:val="hybridMultilevel"/>
    <w:tmpl w:val="0270F978"/>
    <w:lvl w:ilvl="0" w:tplc="28662D8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D306E"/>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0794385">
    <w:abstractNumId w:val="19"/>
  </w:num>
  <w:num w:numId="2" w16cid:durableId="1376805915">
    <w:abstractNumId w:val="18"/>
  </w:num>
  <w:num w:numId="3" w16cid:durableId="1657605966">
    <w:abstractNumId w:val="25"/>
  </w:num>
  <w:num w:numId="4" w16cid:durableId="183716749">
    <w:abstractNumId w:val="20"/>
  </w:num>
  <w:num w:numId="5" w16cid:durableId="346490350">
    <w:abstractNumId w:val="2"/>
  </w:num>
  <w:num w:numId="6" w16cid:durableId="1571884088">
    <w:abstractNumId w:val="27"/>
  </w:num>
  <w:num w:numId="7" w16cid:durableId="1436319212">
    <w:abstractNumId w:val="15"/>
  </w:num>
  <w:num w:numId="8" w16cid:durableId="1513640441">
    <w:abstractNumId w:val="6"/>
  </w:num>
  <w:num w:numId="9" w16cid:durableId="1079912874">
    <w:abstractNumId w:val="12"/>
  </w:num>
  <w:num w:numId="10" w16cid:durableId="697855139">
    <w:abstractNumId w:val="11"/>
  </w:num>
  <w:num w:numId="11" w16cid:durableId="351689807">
    <w:abstractNumId w:val="23"/>
  </w:num>
  <w:num w:numId="12" w16cid:durableId="395444837">
    <w:abstractNumId w:val="1"/>
  </w:num>
  <w:num w:numId="13" w16cid:durableId="787355125">
    <w:abstractNumId w:val="17"/>
  </w:num>
  <w:num w:numId="14" w16cid:durableId="1620643488">
    <w:abstractNumId w:val="4"/>
  </w:num>
  <w:num w:numId="15" w16cid:durableId="1169101376">
    <w:abstractNumId w:val="37"/>
  </w:num>
  <w:num w:numId="16" w16cid:durableId="1401488819">
    <w:abstractNumId w:val="29"/>
  </w:num>
  <w:num w:numId="17" w16cid:durableId="1746880463">
    <w:abstractNumId w:val="10"/>
  </w:num>
  <w:num w:numId="18" w16cid:durableId="1941141761">
    <w:abstractNumId w:val="3"/>
  </w:num>
  <w:num w:numId="19" w16cid:durableId="982271045">
    <w:abstractNumId w:val="39"/>
  </w:num>
  <w:num w:numId="20" w16cid:durableId="261306093">
    <w:abstractNumId w:val="22"/>
  </w:num>
  <w:num w:numId="21" w16cid:durableId="43143967">
    <w:abstractNumId w:val="14"/>
  </w:num>
  <w:num w:numId="22" w16cid:durableId="721952595">
    <w:abstractNumId w:val="0"/>
  </w:num>
  <w:num w:numId="23" w16cid:durableId="1726560737">
    <w:abstractNumId w:val="8"/>
  </w:num>
  <w:num w:numId="24" w16cid:durableId="974990036">
    <w:abstractNumId w:val="26"/>
  </w:num>
  <w:num w:numId="25" w16cid:durableId="1373505486">
    <w:abstractNumId w:val="31"/>
  </w:num>
  <w:num w:numId="26" w16cid:durableId="2118477201">
    <w:abstractNumId w:val="36"/>
  </w:num>
  <w:num w:numId="27" w16cid:durableId="445269731">
    <w:abstractNumId w:val="7"/>
  </w:num>
  <w:num w:numId="28" w16cid:durableId="1381974878">
    <w:abstractNumId w:val="33"/>
  </w:num>
  <w:num w:numId="29" w16cid:durableId="1621840809">
    <w:abstractNumId w:val="13"/>
  </w:num>
  <w:num w:numId="30" w16cid:durableId="1587181232">
    <w:abstractNumId w:val="16"/>
  </w:num>
  <w:num w:numId="31" w16cid:durableId="1710914953">
    <w:abstractNumId w:val="9"/>
  </w:num>
  <w:num w:numId="32" w16cid:durableId="70200630">
    <w:abstractNumId w:val="38"/>
  </w:num>
  <w:num w:numId="33" w16cid:durableId="123042465">
    <w:abstractNumId w:val="5"/>
  </w:num>
  <w:num w:numId="34" w16cid:durableId="1325860486">
    <w:abstractNumId w:val="34"/>
  </w:num>
  <w:num w:numId="35" w16cid:durableId="1271863979">
    <w:abstractNumId w:val="21"/>
  </w:num>
  <w:num w:numId="36" w16cid:durableId="1595819230">
    <w:abstractNumId w:val="24"/>
  </w:num>
  <w:num w:numId="37" w16cid:durableId="1903910202">
    <w:abstractNumId w:val="28"/>
  </w:num>
  <w:num w:numId="38" w16cid:durableId="1083911422">
    <w:abstractNumId w:val="30"/>
  </w:num>
  <w:num w:numId="39" w16cid:durableId="94518514">
    <w:abstractNumId w:val="32"/>
  </w:num>
  <w:num w:numId="40" w16cid:durableId="8550717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AA"/>
    <w:rsid w:val="00002BFC"/>
    <w:rsid w:val="00006763"/>
    <w:rsid w:val="00010859"/>
    <w:rsid w:val="0001432D"/>
    <w:rsid w:val="00037ADF"/>
    <w:rsid w:val="00042AC3"/>
    <w:rsid w:val="00046EB9"/>
    <w:rsid w:val="000507B9"/>
    <w:rsid w:val="000606DE"/>
    <w:rsid w:val="00061C5F"/>
    <w:rsid w:val="000713A4"/>
    <w:rsid w:val="00075137"/>
    <w:rsid w:val="00087354"/>
    <w:rsid w:val="00094DF8"/>
    <w:rsid w:val="000950BE"/>
    <w:rsid w:val="00097938"/>
    <w:rsid w:val="00097A8C"/>
    <w:rsid w:val="000A006C"/>
    <w:rsid w:val="000A00D3"/>
    <w:rsid w:val="000A08C0"/>
    <w:rsid w:val="000A7BB6"/>
    <w:rsid w:val="000B2885"/>
    <w:rsid w:val="000D2E01"/>
    <w:rsid w:val="000D34F9"/>
    <w:rsid w:val="000D5EF1"/>
    <w:rsid w:val="000D6FDB"/>
    <w:rsid w:val="000D714F"/>
    <w:rsid w:val="000D74C7"/>
    <w:rsid w:val="000E2754"/>
    <w:rsid w:val="000E54DA"/>
    <w:rsid w:val="000F297F"/>
    <w:rsid w:val="000F7412"/>
    <w:rsid w:val="00105D5C"/>
    <w:rsid w:val="001116CB"/>
    <w:rsid w:val="00112F41"/>
    <w:rsid w:val="00114C7E"/>
    <w:rsid w:val="00115CCF"/>
    <w:rsid w:val="00120110"/>
    <w:rsid w:val="00123062"/>
    <w:rsid w:val="0012763B"/>
    <w:rsid w:val="00133777"/>
    <w:rsid w:val="0013546E"/>
    <w:rsid w:val="00137C07"/>
    <w:rsid w:val="00140957"/>
    <w:rsid w:val="00141892"/>
    <w:rsid w:val="00142962"/>
    <w:rsid w:val="001448C7"/>
    <w:rsid w:val="00152FF9"/>
    <w:rsid w:val="001631D8"/>
    <w:rsid w:val="00166854"/>
    <w:rsid w:val="00174CDE"/>
    <w:rsid w:val="00176F45"/>
    <w:rsid w:val="00180DFB"/>
    <w:rsid w:val="00192A97"/>
    <w:rsid w:val="00193135"/>
    <w:rsid w:val="0019397D"/>
    <w:rsid w:val="0019622E"/>
    <w:rsid w:val="001C0F55"/>
    <w:rsid w:val="001C1E57"/>
    <w:rsid w:val="001C33C1"/>
    <w:rsid w:val="001D1793"/>
    <w:rsid w:val="001D17CA"/>
    <w:rsid w:val="001D1D42"/>
    <w:rsid w:val="001E10FB"/>
    <w:rsid w:val="001F4E15"/>
    <w:rsid w:val="001F52FE"/>
    <w:rsid w:val="00212804"/>
    <w:rsid w:val="00221930"/>
    <w:rsid w:val="00226F22"/>
    <w:rsid w:val="002401E5"/>
    <w:rsid w:val="00247E9D"/>
    <w:rsid w:val="00251212"/>
    <w:rsid w:val="00256017"/>
    <w:rsid w:val="00257709"/>
    <w:rsid w:val="00261F43"/>
    <w:rsid w:val="0026468F"/>
    <w:rsid w:val="0026571F"/>
    <w:rsid w:val="002707F4"/>
    <w:rsid w:val="00270CE8"/>
    <w:rsid w:val="00290591"/>
    <w:rsid w:val="00291481"/>
    <w:rsid w:val="00293675"/>
    <w:rsid w:val="00294C7C"/>
    <w:rsid w:val="00296856"/>
    <w:rsid w:val="002A2B96"/>
    <w:rsid w:val="002A4992"/>
    <w:rsid w:val="002C0F09"/>
    <w:rsid w:val="002C6D93"/>
    <w:rsid w:val="002C6DF3"/>
    <w:rsid w:val="002D06EF"/>
    <w:rsid w:val="002F6F83"/>
    <w:rsid w:val="00301C0F"/>
    <w:rsid w:val="00302645"/>
    <w:rsid w:val="0030275F"/>
    <w:rsid w:val="00306513"/>
    <w:rsid w:val="00311D0D"/>
    <w:rsid w:val="00313E23"/>
    <w:rsid w:val="00321765"/>
    <w:rsid w:val="0032746E"/>
    <w:rsid w:val="00327547"/>
    <w:rsid w:val="00327E98"/>
    <w:rsid w:val="003348FB"/>
    <w:rsid w:val="00341D15"/>
    <w:rsid w:val="00344F5E"/>
    <w:rsid w:val="00347966"/>
    <w:rsid w:val="00351D97"/>
    <w:rsid w:val="00353823"/>
    <w:rsid w:val="00353CBA"/>
    <w:rsid w:val="00360083"/>
    <w:rsid w:val="00360ADF"/>
    <w:rsid w:val="00365CBB"/>
    <w:rsid w:val="00367290"/>
    <w:rsid w:val="00372BA0"/>
    <w:rsid w:val="003740C5"/>
    <w:rsid w:val="0037513F"/>
    <w:rsid w:val="003800B7"/>
    <w:rsid w:val="00385D74"/>
    <w:rsid w:val="003955AF"/>
    <w:rsid w:val="00396658"/>
    <w:rsid w:val="003972C1"/>
    <w:rsid w:val="003A0FD6"/>
    <w:rsid w:val="003A3C2F"/>
    <w:rsid w:val="003A57EA"/>
    <w:rsid w:val="003B3A4B"/>
    <w:rsid w:val="003B5CA5"/>
    <w:rsid w:val="003D1E0F"/>
    <w:rsid w:val="003D61CE"/>
    <w:rsid w:val="003E4981"/>
    <w:rsid w:val="003F451D"/>
    <w:rsid w:val="003F4B63"/>
    <w:rsid w:val="003F6FAD"/>
    <w:rsid w:val="00401FD6"/>
    <w:rsid w:val="00410312"/>
    <w:rsid w:val="00417326"/>
    <w:rsid w:val="00426AB0"/>
    <w:rsid w:val="00427240"/>
    <w:rsid w:val="0043018A"/>
    <w:rsid w:val="0043252C"/>
    <w:rsid w:val="0044109F"/>
    <w:rsid w:val="0044792D"/>
    <w:rsid w:val="00447C54"/>
    <w:rsid w:val="00452BCF"/>
    <w:rsid w:val="0045395B"/>
    <w:rsid w:val="0045395E"/>
    <w:rsid w:val="00456305"/>
    <w:rsid w:val="004651F4"/>
    <w:rsid w:val="004703A0"/>
    <w:rsid w:val="00471E86"/>
    <w:rsid w:val="00484157"/>
    <w:rsid w:val="00486166"/>
    <w:rsid w:val="00492669"/>
    <w:rsid w:val="004A1074"/>
    <w:rsid w:val="004A60BB"/>
    <w:rsid w:val="004A6103"/>
    <w:rsid w:val="004B665F"/>
    <w:rsid w:val="004C0C8E"/>
    <w:rsid w:val="004C1EBE"/>
    <w:rsid w:val="004C21AF"/>
    <w:rsid w:val="004D3448"/>
    <w:rsid w:val="004D58FB"/>
    <w:rsid w:val="004D73B5"/>
    <w:rsid w:val="004E25D0"/>
    <w:rsid w:val="004E4C7A"/>
    <w:rsid w:val="004F459C"/>
    <w:rsid w:val="004F6EA8"/>
    <w:rsid w:val="004F74C6"/>
    <w:rsid w:val="00500339"/>
    <w:rsid w:val="0051795A"/>
    <w:rsid w:val="005201CF"/>
    <w:rsid w:val="00535272"/>
    <w:rsid w:val="00541E5F"/>
    <w:rsid w:val="0054211A"/>
    <w:rsid w:val="00543A2B"/>
    <w:rsid w:val="00543C57"/>
    <w:rsid w:val="005607FA"/>
    <w:rsid w:val="005620E9"/>
    <w:rsid w:val="00562499"/>
    <w:rsid w:val="005634F7"/>
    <w:rsid w:val="00565190"/>
    <w:rsid w:val="00572B06"/>
    <w:rsid w:val="0057600E"/>
    <w:rsid w:val="00583434"/>
    <w:rsid w:val="0059263E"/>
    <w:rsid w:val="005944F0"/>
    <w:rsid w:val="00594F49"/>
    <w:rsid w:val="005965EF"/>
    <w:rsid w:val="005A4240"/>
    <w:rsid w:val="005A6D4A"/>
    <w:rsid w:val="005D2E57"/>
    <w:rsid w:val="005D3E2C"/>
    <w:rsid w:val="005F6CDD"/>
    <w:rsid w:val="00602E98"/>
    <w:rsid w:val="0062001C"/>
    <w:rsid w:val="00621B6B"/>
    <w:rsid w:val="00622508"/>
    <w:rsid w:val="006319D8"/>
    <w:rsid w:val="00631DD5"/>
    <w:rsid w:val="0065663D"/>
    <w:rsid w:val="00656D94"/>
    <w:rsid w:val="0066109E"/>
    <w:rsid w:val="006701D5"/>
    <w:rsid w:val="006701D7"/>
    <w:rsid w:val="00677853"/>
    <w:rsid w:val="00686FDA"/>
    <w:rsid w:val="00692CE6"/>
    <w:rsid w:val="00696E77"/>
    <w:rsid w:val="006A5D06"/>
    <w:rsid w:val="006B431D"/>
    <w:rsid w:val="006B57D3"/>
    <w:rsid w:val="006D090B"/>
    <w:rsid w:val="006D67FD"/>
    <w:rsid w:val="006D7ACB"/>
    <w:rsid w:val="006E0AD7"/>
    <w:rsid w:val="006E2B1A"/>
    <w:rsid w:val="006E3DFF"/>
    <w:rsid w:val="006E6C2C"/>
    <w:rsid w:val="006F0CB1"/>
    <w:rsid w:val="006F24A9"/>
    <w:rsid w:val="006F2B2A"/>
    <w:rsid w:val="0071165C"/>
    <w:rsid w:val="00715672"/>
    <w:rsid w:val="00716E70"/>
    <w:rsid w:val="00723F14"/>
    <w:rsid w:val="007310B1"/>
    <w:rsid w:val="00750E5D"/>
    <w:rsid w:val="00752307"/>
    <w:rsid w:val="0075302E"/>
    <w:rsid w:val="00754C51"/>
    <w:rsid w:val="00754F13"/>
    <w:rsid w:val="00755A62"/>
    <w:rsid w:val="007612CC"/>
    <w:rsid w:val="007674AA"/>
    <w:rsid w:val="00770313"/>
    <w:rsid w:val="007706C0"/>
    <w:rsid w:val="00780C11"/>
    <w:rsid w:val="00783417"/>
    <w:rsid w:val="00783BE5"/>
    <w:rsid w:val="00783DFC"/>
    <w:rsid w:val="0078569C"/>
    <w:rsid w:val="00785C38"/>
    <w:rsid w:val="00793934"/>
    <w:rsid w:val="00797100"/>
    <w:rsid w:val="007A45BE"/>
    <w:rsid w:val="007B240D"/>
    <w:rsid w:val="007B3C87"/>
    <w:rsid w:val="007B707E"/>
    <w:rsid w:val="007B7AF8"/>
    <w:rsid w:val="007C0AFF"/>
    <w:rsid w:val="007C3D82"/>
    <w:rsid w:val="007D24B5"/>
    <w:rsid w:val="007D4D09"/>
    <w:rsid w:val="007D7679"/>
    <w:rsid w:val="007D7795"/>
    <w:rsid w:val="007E21D8"/>
    <w:rsid w:val="007F7857"/>
    <w:rsid w:val="007F7A17"/>
    <w:rsid w:val="008029D3"/>
    <w:rsid w:val="00802C00"/>
    <w:rsid w:val="00803821"/>
    <w:rsid w:val="00816D2A"/>
    <w:rsid w:val="0082498E"/>
    <w:rsid w:val="00825A83"/>
    <w:rsid w:val="00827703"/>
    <w:rsid w:val="0083176D"/>
    <w:rsid w:val="008325F8"/>
    <w:rsid w:val="0083780B"/>
    <w:rsid w:val="0085106E"/>
    <w:rsid w:val="0085600E"/>
    <w:rsid w:val="00857D8E"/>
    <w:rsid w:val="00860FCA"/>
    <w:rsid w:val="00861AFA"/>
    <w:rsid w:val="00877F36"/>
    <w:rsid w:val="008814E0"/>
    <w:rsid w:val="0088614A"/>
    <w:rsid w:val="0089295F"/>
    <w:rsid w:val="00892DC0"/>
    <w:rsid w:val="008A235E"/>
    <w:rsid w:val="008B464E"/>
    <w:rsid w:val="008C5D77"/>
    <w:rsid w:val="008D043F"/>
    <w:rsid w:val="008D3172"/>
    <w:rsid w:val="008E0304"/>
    <w:rsid w:val="008E1034"/>
    <w:rsid w:val="008E1F06"/>
    <w:rsid w:val="008E73D8"/>
    <w:rsid w:val="008F263B"/>
    <w:rsid w:val="008F552E"/>
    <w:rsid w:val="008F650D"/>
    <w:rsid w:val="00900818"/>
    <w:rsid w:val="00912C70"/>
    <w:rsid w:val="009216E1"/>
    <w:rsid w:val="00922954"/>
    <w:rsid w:val="0092381C"/>
    <w:rsid w:val="00927BB5"/>
    <w:rsid w:val="009328BE"/>
    <w:rsid w:val="00932EA2"/>
    <w:rsid w:val="00933038"/>
    <w:rsid w:val="00936875"/>
    <w:rsid w:val="00943E8F"/>
    <w:rsid w:val="00950D80"/>
    <w:rsid w:val="00954D66"/>
    <w:rsid w:val="009575F9"/>
    <w:rsid w:val="0096523C"/>
    <w:rsid w:val="00965911"/>
    <w:rsid w:val="0096706A"/>
    <w:rsid w:val="00975526"/>
    <w:rsid w:val="00980EAA"/>
    <w:rsid w:val="0098796E"/>
    <w:rsid w:val="00991A4E"/>
    <w:rsid w:val="00992F53"/>
    <w:rsid w:val="009A5A2D"/>
    <w:rsid w:val="009A5E30"/>
    <w:rsid w:val="009A7E4D"/>
    <w:rsid w:val="009B3AD1"/>
    <w:rsid w:val="009B5B39"/>
    <w:rsid w:val="009C3810"/>
    <w:rsid w:val="009C54D4"/>
    <w:rsid w:val="009C7FC0"/>
    <w:rsid w:val="009D656D"/>
    <w:rsid w:val="009E2862"/>
    <w:rsid w:val="009E5C9D"/>
    <w:rsid w:val="009F13C7"/>
    <w:rsid w:val="009F1C54"/>
    <w:rsid w:val="009F3DC5"/>
    <w:rsid w:val="009F51B7"/>
    <w:rsid w:val="00A03C6D"/>
    <w:rsid w:val="00A223CD"/>
    <w:rsid w:val="00A2317F"/>
    <w:rsid w:val="00A24C41"/>
    <w:rsid w:val="00A2506E"/>
    <w:rsid w:val="00A31471"/>
    <w:rsid w:val="00A31A2F"/>
    <w:rsid w:val="00A4126C"/>
    <w:rsid w:val="00A50E68"/>
    <w:rsid w:val="00A647F8"/>
    <w:rsid w:val="00A6645A"/>
    <w:rsid w:val="00A72AC0"/>
    <w:rsid w:val="00A75D66"/>
    <w:rsid w:val="00A9797A"/>
    <w:rsid w:val="00AA07A7"/>
    <w:rsid w:val="00AB234A"/>
    <w:rsid w:val="00AB57E4"/>
    <w:rsid w:val="00AC35DD"/>
    <w:rsid w:val="00AC6B77"/>
    <w:rsid w:val="00AD3946"/>
    <w:rsid w:val="00AD40D2"/>
    <w:rsid w:val="00AE2830"/>
    <w:rsid w:val="00AE28E9"/>
    <w:rsid w:val="00AE53AF"/>
    <w:rsid w:val="00AE7A0B"/>
    <w:rsid w:val="00B010F2"/>
    <w:rsid w:val="00B02E4B"/>
    <w:rsid w:val="00B03183"/>
    <w:rsid w:val="00B0437E"/>
    <w:rsid w:val="00B10BF7"/>
    <w:rsid w:val="00B11B49"/>
    <w:rsid w:val="00B153B5"/>
    <w:rsid w:val="00B158C1"/>
    <w:rsid w:val="00B21AAA"/>
    <w:rsid w:val="00B22B19"/>
    <w:rsid w:val="00B3071B"/>
    <w:rsid w:val="00B328E8"/>
    <w:rsid w:val="00B35273"/>
    <w:rsid w:val="00B46FCE"/>
    <w:rsid w:val="00B5215C"/>
    <w:rsid w:val="00B568D1"/>
    <w:rsid w:val="00B64AA5"/>
    <w:rsid w:val="00B64BF5"/>
    <w:rsid w:val="00B71884"/>
    <w:rsid w:val="00B75C6B"/>
    <w:rsid w:val="00B77696"/>
    <w:rsid w:val="00B90019"/>
    <w:rsid w:val="00B926C9"/>
    <w:rsid w:val="00B95BB8"/>
    <w:rsid w:val="00B95E60"/>
    <w:rsid w:val="00BA3844"/>
    <w:rsid w:val="00BA72CA"/>
    <w:rsid w:val="00BB0EF5"/>
    <w:rsid w:val="00BC17D2"/>
    <w:rsid w:val="00BC4813"/>
    <w:rsid w:val="00BC645B"/>
    <w:rsid w:val="00BD43A8"/>
    <w:rsid w:val="00BE0040"/>
    <w:rsid w:val="00BE01EE"/>
    <w:rsid w:val="00BE3D4B"/>
    <w:rsid w:val="00BE5CD9"/>
    <w:rsid w:val="00BF4592"/>
    <w:rsid w:val="00C03A2F"/>
    <w:rsid w:val="00C047D0"/>
    <w:rsid w:val="00C070FD"/>
    <w:rsid w:val="00C07116"/>
    <w:rsid w:val="00C0720E"/>
    <w:rsid w:val="00C160CB"/>
    <w:rsid w:val="00C20CD2"/>
    <w:rsid w:val="00C266EA"/>
    <w:rsid w:val="00C314EA"/>
    <w:rsid w:val="00C33001"/>
    <w:rsid w:val="00C36FBF"/>
    <w:rsid w:val="00C374AC"/>
    <w:rsid w:val="00C474AC"/>
    <w:rsid w:val="00C52010"/>
    <w:rsid w:val="00C53C53"/>
    <w:rsid w:val="00C626F5"/>
    <w:rsid w:val="00C6641A"/>
    <w:rsid w:val="00C720BD"/>
    <w:rsid w:val="00C7561B"/>
    <w:rsid w:val="00C80295"/>
    <w:rsid w:val="00C845AF"/>
    <w:rsid w:val="00C90717"/>
    <w:rsid w:val="00C908E4"/>
    <w:rsid w:val="00C91EB6"/>
    <w:rsid w:val="00C95492"/>
    <w:rsid w:val="00CA7307"/>
    <w:rsid w:val="00CB1605"/>
    <w:rsid w:val="00CB4C79"/>
    <w:rsid w:val="00CB7DE4"/>
    <w:rsid w:val="00CC3C24"/>
    <w:rsid w:val="00CD1D4C"/>
    <w:rsid w:val="00CD2141"/>
    <w:rsid w:val="00CD53B5"/>
    <w:rsid w:val="00CE1877"/>
    <w:rsid w:val="00CF3FC5"/>
    <w:rsid w:val="00CF5621"/>
    <w:rsid w:val="00CF68E4"/>
    <w:rsid w:val="00D0138F"/>
    <w:rsid w:val="00D032AA"/>
    <w:rsid w:val="00D0661A"/>
    <w:rsid w:val="00D2210D"/>
    <w:rsid w:val="00D23594"/>
    <w:rsid w:val="00D31A27"/>
    <w:rsid w:val="00D32438"/>
    <w:rsid w:val="00D33DFC"/>
    <w:rsid w:val="00D369EF"/>
    <w:rsid w:val="00D36ABC"/>
    <w:rsid w:val="00D36E09"/>
    <w:rsid w:val="00D43AF6"/>
    <w:rsid w:val="00D55164"/>
    <w:rsid w:val="00D60247"/>
    <w:rsid w:val="00D6108D"/>
    <w:rsid w:val="00D7683A"/>
    <w:rsid w:val="00D770CF"/>
    <w:rsid w:val="00D86FF3"/>
    <w:rsid w:val="00D97937"/>
    <w:rsid w:val="00DA2B27"/>
    <w:rsid w:val="00DA3F1D"/>
    <w:rsid w:val="00DA6641"/>
    <w:rsid w:val="00DB3A6F"/>
    <w:rsid w:val="00DC1E84"/>
    <w:rsid w:val="00DD09DB"/>
    <w:rsid w:val="00DD1176"/>
    <w:rsid w:val="00DE04FB"/>
    <w:rsid w:val="00E00423"/>
    <w:rsid w:val="00E05617"/>
    <w:rsid w:val="00E06FCF"/>
    <w:rsid w:val="00E175C2"/>
    <w:rsid w:val="00E2652F"/>
    <w:rsid w:val="00E51143"/>
    <w:rsid w:val="00E51F79"/>
    <w:rsid w:val="00E563C7"/>
    <w:rsid w:val="00E61DA1"/>
    <w:rsid w:val="00E621B2"/>
    <w:rsid w:val="00E67714"/>
    <w:rsid w:val="00E72534"/>
    <w:rsid w:val="00E80180"/>
    <w:rsid w:val="00E96436"/>
    <w:rsid w:val="00EB0C89"/>
    <w:rsid w:val="00EB0D7D"/>
    <w:rsid w:val="00EB6230"/>
    <w:rsid w:val="00EB6258"/>
    <w:rsid w:val="00EC4A37"/>
    <w:rsid w:val="00ED04D5"/>
    <w:rsid w:val="00ED44DE"/>
    <w:rsid w:val="00ED7832"/>
    <w:rsid w:val="00EF4098"/>
    <w:rsid w:val="00EF6AEF"/>
    <w:rsid w:val="00F032CE"/>
    <w:rsid w:val="00F039ED"/>
    <w:rsid w:val="00F04756"/>
    <w:rsid w:val="00F113EA"/>
    <w:rsid w:val="00F12E57"/>
    <w:rsid w:val="00F21AD2"/>
    <w:rsid w:val="00F25A78"/>
    <w:rsid w:val="00F3115C"/>
    <w:rsid w:val="00F33C17"/>
    <w:rsid w:val="00F34574"/>
    <w:rsid w:val="00F365DE"/>
    <w:rsid w:val="00F45C11"/>
    <w:rsid w:val="00F519A9"/>
    <w:rsid w:val="00F54A2C"/>
    <w:rsid w:val="00F57684"/>
    <w:rsid w:val="00F5790C"/>
    <w:rsid w:val="00F60539"/>
    <w:rsid w:val="00F623E8"/>
    <w:rsid w:val="00F75B50"/>
    <w:rsid w:val="00F82264"/>
    <w:rsid w:val="00F86735"/>
    <w:rsid w:val="00F95203"/>
    <w:rsid w:val="00FA143D"/>
    <w:rsid w:val="00FA1F5E"/>
    <w:rsid w:val="00FA52EC"/>
    <w:rsid w:val="00FA5489"/>
    <w:rsid w:val="00FB0218"/>
    <w:rsid w:val="00FB1781"/>
    <w:rsid w:val="00FB18FB"/>
    <w:rsid w:val="00FB2F44"/>
    <w:rsid w:val="00FB7A0D"/>
    <w:rsid w:val="00FD44AA"/>
    <w:rsid w:val="00FD706F"/>
    <w:rsid w:val="00FE3051"/>
    <w:rsid w:val="00FE4B17"/>
    <w:rsid w:val="00FF0682"/>
    <w:rsid w:val="00FF1F7E"/>
    <w:rsid w:val="00FF4E4A"/>
    <w:rsid w:val="00FF6294"/>
    <w:rsid w:val="00FF79C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5F0EE"/>
  <w15:docId w15:val="{18A9AC34-5F28-47BC-9490-494FD32E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04"/>
    <w:rPr>
      <w:rFonts w:ascii="Arial" w:hAnsi="Arial" w:cs="Arial"/>
      <w:sz w:val="24"/>
      <w:szCs w:val="24"/>
      <w:lang w:val="en-US" w:eastAsia="en-US"/>
    </w:rPr>
  </w:style>
  <w:style w:type="paragraph" w:styleId="Heading1">
    <w:name w:val="heading 1"/>
    <w:basedOn w:val="Normal"/>
    <w:next w:val="Normal"/>
    <w:link w:val="Heading1Char"/>
    <w:autoRedefine/>
    <w:uiPriority w:val="9"/>
    <w:qFormat/>
    <w:rsid w:val="004C21AF"/>
    <w:pPr>
      <w:keepNext/>
      <w:keepLines/>
      <w:pBdr>
        <w:bottom w:val="single" w:sz="4" w:space="1" w:color="D9D9D9" w:themeColor="background1" w:themeShade="D9"/>
      </w:pBdr>
      <w:spacing w:before="450" w:after="225"/>
      <w:outlineLvl w:val="0"/>
    </w:pPr>
    <w:rPr>
      <w:rFonts w:eastAsiaTheme="minorHAnsi"/>
      <w:b/>
      <w:bCs/>
      <w:sz w:val="40"/>
      <w:szCs w:val="40"/>
      <w:lang w:val="en-CA"/>
    </w:rPr>
  </w:style>
  <w:style w:type="paragraph" w:styleId="Heading2">
    <w:name w:val="heading 2"/>
    <w:basedOn w:val="Normal"/>
    <w:next w:val="Normal"/>
    <w:link w:val="Heading2Char"/>
    <w:autoRedefine/>
    <w:uiPriority w:val="9"/>
    <w:unhideWhenUsed/>
    <w:qFormat/>
    <w:rsid w:val="00FF4E4A"/>
    <w:pPr>
      <w:keepNext/>
      <w:keepLines/>
      <w:shd w:val="clear" w:color="auto" w:fill="FFFFFF"/>
      <w:spacing w:before="570" w:after="173"/>
      <w:outlineLvl w:val="1"/>
    </w:pPr>
    <w:rPr>
      <w:rFonts w:eastAsiaTheme="minorHAnsi" w:cstheme="minorBidi"/>
      <w:b/>
      <w:bCs/>
      <w:color w:val="000000"/>
      <w:sz w:val="36"/>
      <w:szCs w:val="36"/>
      <w:lang w:val="en-CA" w:eastAsia="en-CA"/>
    </w:rPr>
  </w:style>
  <w:style w:type="paragraph" w:styleId="Heading3">
    <w:name w:val="heading 3"/>
    <w:basedOn w:val="Normal"/>
    <w:next w:val="Normal"/>
    <w:link w:val="Heading3Char"/>
    <w:autoRedefine/>
    <w:uiPriority w:val="9"/>
    <w:unhideWhenUsed/>
    <w:qFormat/>
    <w:rsid w:val="00C36FBF"/>
    <w:pPr>
      <w:spacing w:before="480" w:after="173" w:line="345" w:lineRule="exact"/>
      <w:outlineLvl w:val="2"/>
    </w:pPr>
    <w:rPr>
      <w:rFonts w:eastAsiaTheme="minorHAnsi" w:cstheme="minorBidi"/>
      <w:sz w:val="32"/>
      <w:szCs w:val="32"/>
      <w:lang w:eastAsia="en-CA"/>
    </w:rPr>
  </w:style>
  <w:style w:type="paragraph" w:styleId="Heading4">
    <w:name w:val="heading 4"/>
    <w:basedOn w:val="Normal"/>
    <w:next w:val="Normal"/>
    <w:link w:val="Heading4Char"/>
    <w:autoRedefine/>
    <w:uiPriority w:val="9"/>
    <w:unhideWhenUsed/>
    <w:qFormat/>
    <w:rsid w:val="00FF4E4A"/>
    <w:pPr>
      <w:spacing w:before="390" w:after="173" w:line="345" w:lineRule="exact"/>
      <w:outlineLvl w:val="3"/>
    </w:pPr>
    <w:rPr>
      <w:rFonts w:eastAsiaTheme="minorHAnsi" w:cstheme="minorBidi"/>
      <w:b/>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AD7"/>
    <w:pPr>
      <w:tabs>
        <w:tab w:val="center" w:pos="4320"/>
        <w:tab w:val="right" w:pos="8640"/>
      </w:tabs>
    </w:pPr>
  </w:style>
  <w:style w:type="paragraph" w:styleId="Footer">
    <w:name w:val="footer"/>
    <w:basedOn w:val="Normal"/>
    <w:link w:val="FooterChar"/>
    <w:uiPriority w:val="99"/>
    <w:rsid w:val="006E0AD7"/>
    <w:pPr>
      <w:tabs>
        <w:tab w:val="center" w:pos="4320"/>
        <w:tab w:val="right" w:pos="8640"/>
      </w:tabs>
    </w:pPr>
  </w:style>
  <w:style w:type="character" w:styleId="PageNumber">
    <w:name w:val="page number"/>
    <w:basedOn w:val="DefaultParagraphFont"/>
    <w:rsid w:val="006E0AD7"/>
  </w:style>
  <w:style w:type="paragraph" w:customStyle="1" w:styleId="Bullets">
    <w:name w:val="Bullets"/>
    <w:basedOn w:val="Normal"/>
    <w:rsid w:val="000D2E01"/>
    <w:pPr>
      <w:numPr>
        <w:numId w:val="15"/>
      </w:numPr>
    </w:pPr>
  </w:style>
  <w:style w:type="paragraph" w:styleId="BalloonText">
    <w:name w:val="Balloon Text"/>
    <w:basedOn w:val="Normal"/>
    <w:semiHidden/>
    <w:rsid w:val="007C0AFF"/>
    <w:rPr>
      <w:rFonts w:ascii="Tahoma" w:hAnsi="Tahoma" w:cs="Tahoma"/>
      <w:sz w:val="16"/>
      <w:szCs w:val="16"/>
    </w:rPr>
  </w:style>
  <w:style w:type="character" w:customStyle="1" w:styleId="FooterChar">
    <w:name w:val="Footer Char"/>
    <w:basedOn w:val="DefaultParagraphFont"/>
    <w:link w:val="Footer"/>
    <w:uiPriority w:val="99"/>
    <w:rsid w:val="00327547"/>
    <w:rPr>
      <w:sz w:val="24"/>
      <w:szCs w:val="24"/>
      <w:lang w:val="en-US" w:eastAsia="en-US"/>
    </w:rPr>
  </w:style>
  <w:style w:type="character" w:customStyle="1" w:styleId="Heading1Char">
    <w:name w:val="Heading 1 Char"/>
    <w:basedOn w:val="DefaultParagraphFont"/>
    <w:link w:val="Heading1"/>
    <w:uiPriority w:val="9"/>
    <w:rsid w:val="004C21AF"/>
    <w:rPr>
      <w:rFonts w:ascii="Arial" w:eastAsiaTheme="minorHAnsi" w:hAnsi="Arial" w:cs="Arial"/>
      <w:b/>
      <w:bCs/>
      <w:sz w:val="40"/>
      <w:szCs w:val="40"/>
      <w:lang w:eastAsia="en-US"/>
    </w:rPr>
  </w:style>
  <w:style w:type="character" w:customStyle="1" w:styleId="Heading2Char">
    <w:name w:val="Heading 2 Char"/>
    <w:basedOn w:val="DefaultParagraphFont"/>
    <w:link w:val="Heading2"/>
    <w:uiPriority w:val="9"/>
    <w:rsid w:val="00FF4E4A"/>
    <w:rPr>
      <w:rFonts w:ascii="Arial" w:eastAsiaTheme="minorHAnsi" w:hAnsi="Arial" w:cstheme="minorBidi"/>
      <w:b/>
      <w:bCs/>
      <w:color w:val="000000"/>
      <w:sz w:val="36"/>
      <w:szCs w:val="36"/>
      <w:shd w:val="clear" w:color="auto" w:fill="FFFFFF"/>
    </w:rPr>
  </w:style>
  <w:style w:type="character" w:customStyle="1" w:styleId="Heading3Char">
    <w:name w:val="Heading 3 Char"/>
    <w:basedOn w:val="DefaultParagraphFont"/>
    <w:link w:val="Heading3"/>
    <w:uiPriority w:val="9"/>
    <w:rsid w:val="00C36FBF"/>
    <w:rPr>
      <w:rFonts w:ascii="Arial" w:eastAsiaTheme="minorHAnsi" w:hAnsi="Arial" w:cstheme="minorBidi"/>
      <w:sz w:val="32"/>
      <w:szCs w:val="32"/>
      <w:lang w:val="en-US"/>
    </w:rPr>
  </w:style>
  <w:style w:type="character" w:customStyle="1" w:styleId="Heading4Char">
    <w:name w:val="Heading 4 Char"/>
    <w:basedOn w:val="DefaultParagraphFont"/>
    <w:link w:val="Heading4"/>
    <w:uiPriority w:val="9"/>
    <w:rsid w:val="00FF4E4A"/>
    <w:rPr>
      <w:rFonts w:ascii="Arial" w:eastAsiaTheme="minorHAnsi" w:hAnsi="Arial" w:cstheme="minorBidi"/>
      <w:b/>
      <w:sz w:val="27"/>
      <w:szCs w:val="27"/>
      <w:lang w:eastAsia="en-US"/>
    </w:rPr>
  </w:style>
  <w:style w:type="table" w:styleId="TableGrid">
    <w:name w:val="Table Grid"/>
    <w:basedOn w:val="TableNormal"/>
    <w:uiPriority w:val="59"/>
    <w:rsid w:val="00FF4E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E4A"/>
    <w:rPr>
      <w:color w:val="2004EC"/>
      <w:u w:val="single"/>
    </w:rPr>
  </w:style>
  <w:style w:type="paragraph" w:styleId="NormalWeb">
    <w:name w:val="Normal (Web)"/>
    <w:basedOn w:val="Normal"/>
    <w:uiPriority w:val="99"/>
    <w:unhideWhenUsed/>
    <w:rsid w:val="00FF4E4A"/>
    <w:pPr>
      <w:spacing w:before="100" w:beforeAutospacing="1" w:after="100" w:afterAutospacing="1"/>
    </w:pPr>
    <w:rPr>
      <w:rFonts w:eastAsiaTheme="minorHAnsi" w:cstheme="minorBidi"/>
      <w:lang w:val="en-CA"/>
    </w:rPr>
  </w:style>
  <w:style w:type="paragraph" w:styleId="ListParagraph">
    <w:name w:val="List Paragraph"/>
    <w:basedOn w:val="Normal"/>
    <w:uiPriority w:val="34"/>
    <w:qFormat/>
    <w:rsid w:val="00FF4E4A"/>
    <w:pPr>
      <w:spacing w:after="160" w:line="345" w:lineRule="exact"/>
      <w:ind w:left="720"/>
      <w:contextualSpacing/>
    </w:pPr>
    <w:rPr>
      <w:rFonts w:eastAsiaTheme="minorHAnsi" w:cstheme="minorBidi"/>
      <w:szCs w:val="22"/>
      <w:lang w:val="en-CA"/>
    </w:rPr>
  </w:style>
  <w:style w:type="character" w:styleId="CommentReference">
    <w:name w:val="annotation reference"/>
    <w:basedOn w:val="DefaultParagraphFont"/>
    <w:uiPriority w:val="99"/>
    <w:semiHidden/>
    <w:unhideWhenUsed/>
    <w:rsid w:val="00FF4E4A"/>
    <w:rPr>
      <w:sz w:val="16"/>
      <w:szCs w:val="16"/>
    </w:rPr>
  </w:style>
  <w:style w:type="paragraph" w:styleId="CommentText">
    <w:name w:val="annotation text"/>
    <w:basedOn w:val="Normal"/>
    <w:link w:val="CommentTextChar"/>
    <w:uiPriority w:val="99"/>
    <w:unhideWhenUsed/>
    <w:rsid w:val="00FF4E4A"/>
    <w:pPr>
      <w:spacing w:after="160"/>
    </w:pPr>
    <w:rPr>
      <w:rFonts w:eastAsiaTheme="minorHAnsi" w:cstheme="minorBidi"/>
      <w:sz w:val="20"/>
      <w:szCs w:val="20"/>
      <w:lang w:val="en-CA"/>
    </w:rPr>
  </w:style>
  <w:style w:type="character" w:customStyle="1" w:styleId="CommentTextChar">
    <w:name w:val="Comment Text Char"/>
    <w:basedOn w:val="DefaultParagraphFont"/>
    <w:link w:val="CommentText"/>
    <w:uiPriority w:val="99"/>
    <w:rsid w:val="00FF4E4A"/>
    <w:rPr>
      <w:rFonts w:ascii="Arial" w:eastAsiaTheme="minorHAnsi" w:hAnsi="Arial" w:cstheme="minorBidi"/>
      <w:lang w:eastAsia="en-US"/>
    </w:rPr>
  </w:style>
  <w:style w:type="character" w:styleId="UnresolvedMention">
    <w:name w:val="Unresolved Mention"/>
    <w:basedOn w:val="DefaultParagraphFont"/>
    <w:uiPriority w:val="99"/>
    <w:semiHidden/>
    <w:unhideWhenUsed/>
    <w:rsid w:val="00785C38"/>
    <w:rPr>
      <w:color w:val="605E5C"/>
      <w:shd w:val="clear" w:color="auto" w:fill="E1DFDD"/>
    </w:rPr>
  </w:style>
  <w:style w:type="character" w:styleId="FollowedHyperlink">
    <w:name w:val="FollowedHyperlink"/>
    <w:basedOn w:val="DefaultParagraphFont"/>
    <w:semiHidden/>
    <w:unhideWhenUsed/>
    <w:rsid w:val="002C0F09"/>
    <w:rPr>
      <w:color w:val="800080" w:themeColor="followedHyperlink"/>
      <w:u w:val="single"/>
    </w:rPr>
  </w:style>
  <w:style w:type="paragraph" w:styleId="Caption">
    <w:name w:val="caption"/>
    <w:basedOn w:val="Normal"/>
    <w:next w:val="Normal"/>
    <w:unhideWhenUsed/>
    <w:qFormat/>
    <w:rsid w:val="007B7AF8"/>
    <w:pPr>
      <w:spacing w:after="200"/>
    </w:pPr>
    <w:rPr>
      <w:i/>
      <w:iCs/>
      <w:color w:val="1F497D" w:themeColor="text2"/>
      <w:sz w:val="18"/>
      <w:szCs w:val="18"/>
    </w:rPr>
  </w:style>
  <w:style w:type="paragraph" w:styleId="Revision">
    <w:name w:val="Revision"/>
    <w:hidden/>
    <w:uiPriority w:val="99"/>
    <w:semiHidden/>
    <w:rsid w:val="00D2210D"/>
    <w:rPr>
      <w:rFonts w:ascii="Arial" w:hAnsi="Arial" w:cs="Arial"/>
      <w:sz w:val="24"/>
      <w:szCs w:val="24"/>
      <w:lang w:val="en-US" w:eastAsia="en-US"/>
    </w:rPr>
  </w:style>
  <w:style w:type="paragraph" w:styleId="CommentSubject">
    <w:name w:val="annotation subject"/>
    <w:basedOn w:val="CommentText"/>
    <w:next w:val="CommentText"/>
    <w:link w:val="CommentSubjectChar"/>
    <w:semiHidden/>
    <w:unhideWhenUsed/>
    <w:rsid w:val="00F75B50"/>
    <w:pPr>
      <w:spacing w:after="0"/>
    </w:pPr>
    <w:rPr>
      <w:rFonts w:eastAsia="Times New Roman" w:cs="Arial"/>
      <w:b/>
      <w:bCs/>
      <w:lang w:val="en-US"/>
    </w:rPr>
  </w:style>
  <w:style w:type="character" w:customStyle="1" w:styleId="CommentSubjectChar">
    <w:name w:val="Comment Subject Char"/>
    <w:basedOn w:val="CommentTextChar"/>
    <w:link w:val="CommentSubject"/>
    <w:semiHidden/>
    <w:rsid w:val="00F75B50"/>
    <w:rPr>
      <w:rFonts w:ascii="Arial" w:eastAsiaTheme="minorHAnsi"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2997">
      <w:bodyDiv w:val="1"/>
      <w:marLeft w:val="0"/>
      <w:marRight w:val="0"/>
      <w:marTop w:val="0"/>
      <w:marBottom w:val="0"/>
      <w:divBdr>
        <w:top w:val="none" w:sz="0" w:space="0" w:color="auto"/>
        <w:left w:val="none" w:sz="0" w:space="0" w:color="auto"/>
        <w:bottom w:val="none" w:sz="0" w:space="0" w:color="auto"/>
        <w:right w:val="none" w:sz="0" w:space="0" w:color="auto"/>
      </w:divBdr>
    </w:div>
    <w:div w:id="441998637">
      <w:bodyDiv w:val="1"/>
      <w:marLeft w:val="0"/>
      <w:marRight w:val="0"/>
      <w:marTop w:val="0"/>
      <w:marBottom w:val="0"/>
      <w:divBdr>
        <w:top w:val="none" w:sz="0" w:space="0" w:color="auto"/>
        <w:left w:val="none" w:sz="0" w:space="0" w:color="auto"/>
        <w:bottom w:val="none" w:sz="0" w:space="0" w:color="auto"/>
        <w:right w:val="none" w:sz="0" w:space="0" w:color="auto"/>
      </w:divBdr>
    </w:div>
    <w:div w:id="975916433">
      <w:bodyDiv w:val="1"/>
      <w:marLeft w:val="0"/>
      <w:marRight w:val="0"/>
      <w:marTop w:val="0"/>
      <w:marBottom w:val="0"/>
      <w:divBdr>
        <w:top w:val="none" w:sz="0" w:space="0" w:color="auto"/>
        <w:left w:val="none" w:sz="0" w:space="0" w:color="auto"/>
        <w:bottom w:val="none" w:sz="0" w:space="0" w:color="auto"/>
        <w:right w:val="none" w:sz="0" w:space="0" w:color="auto"/>
      </w:divBdr>
    </w:div>
    <w:div w:id="1235776725">
      <w:bodyDiv w:val="1"/>
      <w:marLeft w:val="0"/>
      <w:marRight w:val="0"/>
      <w:marTop w:val="0"/>
      <w:marBottom w:val="0"/>
      <w:divBdr>
        <w:top w:val="none" w:sz="0" w:space="0" w:color="auto"/>
        <w:left w:val="none" w:sz="0" w:space="0" w:color="auto"/>
        <w:bottom w:val="none" w:sz="0" w:space="0" w:color="auto"/>
        <w:right w:val="none" w:sz="0" w:space="0" w:color="auto"/>
      </w:divBdr>
    </w:div>
    <w:div w:id="1448234323">
      <w:bodyDiv w:val="1"/>
      <w:marLeft w:val="0"/>
      <w:marRight w:val="0"/>
      <w:marTop w:val="0"/>
      <w:marBottom w:val="0"/>
      <w:divBdr>
        <w:top w:val="none" w:sz="0" w:space="0" w:color="auto"/>
        <w:left w:val="none" w:sz="0" w:space="0" w:color="auto"/>
        <w:bottom w:val="none" w:sz="0" w:space="0" w:color="auto"/>
        <w:right w:val="none" w:sz="0" w:space="0" w:color="auto"/>
      </w:divBdr>
    </w:div>
    <w:div w:id="1555003186">
      <w:bodyDiv w:val="1"/>
      <w:marLeft w:val="0"/>
      <w:marRight w:val="0"/>
      <w:marTop w:val="0"/>
      <w:marBottom w:val="0"/>
      <w:divBdr>
        <w:top w:val="none" w:sz="0" w:space="0" w:color="auto"/>
        <w:left w:val="none" w:sz="0" w:space="0" w:color="auto"/>
        <w:bottom w:val="none" w:sz="0" w:space="0" w:color="auto"/>
        <w:right w:val="none" w:sz="0" w:space="0" w:color="auto"/>
      </w:divBdr>
    </w:div>
    <w:div w:id="1581600347">
      <w:bodyDiv w:val="1"/>
      <w:marLeft w:val="0"/>
      <w:marRight w:val="0"/>
      <w:marTop w:val="0"/>
      <w:marBottom w:val="0"/>
      <w:divBdr>
        <w:top w:val="none" w:sz="0" w:space="0" w:color="auto"/>
        <w:left w:val="none" w:sz="0" w:space="0" w:color="auto"/>
        <w:bottom w:val="none" w:sz="0" w:space="0" w:color="auto"/>
        <w:right w:val="none" w:sz="0" w:space="0" w:color="auto"/>
      </w:divBdr>
    </w:div>
    <w:div w:id="20618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canada.ca/recommended-templates/generic-destination.html" TargetMode="External"/><Relationship Id="rId13" Type="http://schemas.openxmlformats.org/officeDocument/2006/relationships/hyperlink" Target="https://www.cbsa-asfc.gc.ca/publications/dm-md/d10-eng.html" TargetMode="External"/><Relationship Id="rId18" Type="http://schemas.openxmlformats.org/officeDocument/2006/relationships/hyperlink" Target="https://www.cbsa-asfc.gc.ca/contact/bis-sif-eng.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bsa-asfc.gc.ca/publications/dm-md/menu-eng.html" TargetMode="External"/><Relationship Id="rId17" Type="http://schemas.openxmlformats.org/officeDocument/2006/relationships/hyperlink" Target="https://www.cbsa-asfc.gc.ca/trade-commerce/tariff-tarif/menu-eng.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a-asfc.gc.ca/publications/menu-eng.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s://www.cbsa-asfc.gc.ca/menu-eng.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ada.ca/en/treasury-board-secretariat/services/government-communications/canada-content-style-guide.html" TargetMode="External"/><Relationship Id="rId14" Type="http://schemas.openxmlformats.org/officeDocument/2006/relationships/hyperlink" Target="https://www.cbsa-asfc.gc.ca/publications/dm-md/d10/d10-15-28-eng.pdf"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5347-883F-441D-9957-7B543A20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903</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 Action</vt:lpstr>
      <vt:lpstr>For: Action</vt:lpstr>
    </vt:vector>
  </TitlesOfParts>
  <Company>Government of Canada / Gouvernement du Canada</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Action</dc:title>
  <dc:creator>Hiscocks, Matthew</dc:creator>
  <cp:lastModifiedBy>Whaley, Kevin</cp:lastModifiedBy>
  <cp:revision>2</cp:revision>
  <cp:lastPrinted>2014-07-28T14:22:00Z</cp:lastPrinted>
  <dcterms:created xsi:type="dcterms:W3CDTF">2026-02-05T19:25:00Z</dcterms:created>
  <dcterms:modified xsi:type="dcterms:W3CDTF">2026-02-05T19:25:00Z</dcterms:modified>
</cp:coreProperties>
</file>