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10" w:type="dxa"/>
        <w:tblInd w:w="-5"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Look w:val="04A0" w:firstRow="1" w:lastRow="0" w:firstColumn="1" w:lastColumn="0" w:noHBand="0" w:noVBand="1"/>
      </w:tblPr>
      <w:tblGrid>
        <w:gridCol w:w="2694"/>
        <w:gridCol w:w="11616"/>
      </w:tblGrid>
      <w:tr w:rsidR="00E46486" w:rsidRPr="00CE70F3" w14:paraId="3BADAAEC" w14:textId="77777777" w:rsidTr="00895207">
        <w:trPr>
          <w:trHeight w:val="67"/>
        </w:trPr>
        <w:tc>
          <w:tcPr>
            <w:tcW w:w="2694" w:type="dxa"/>
            <w:shd w:val="clear" w:color="auto" w:fill="DEEAF6" w:themeFill="accent1" w:themeFillTint="33"/>
          </w:tcPr>
          <w:p w14:paraId="13A6E61D" w14:textId="0CF47FFA" w:rsidR="00E46486" w:rsidRPr="00295A04" w:rsidRDefault="00CB51C6" w:rsidP="003600F1">
            <w:pPr>
              <w:spacing w:after="0"/>
              <w:rPr>
                <w:sz w:val="20"/>
                <w:szCs w:val="20"/>
                <w:lang w:val="fr-CA"/>
              </w:rPr>
            </w:pPr>
            <w:r w:rsidRPr="00295A04">
              <w:rPr>
                <w:sz w:val="20"/>
                <w:szCs w:val="20"/>
                <w:lang w:val="fr-CA"/>
              </w:rPr>
              <w:t>Guide de modèle</w:t>
            </w:r>
          </w:p>
        </w:tc>
        <w:tc>
          <w:tcPr>
            <w:tcW w:w="11616" w:type="dxa"/>
          </w:tcPr>
          <w:p w14:paraId="04D6B36A" w14:textId="667698F2" w:rsidR="00E46486" w:rsidRPr="00295A04" w:rsidRDefault="00CB51C6" w:rsidP="003600F1">
            <w:pPr>
              <w:spacing w:after="0"/>
              <w:rPr>
                <w:rFonts w:cs="Arial"/>
                <w:sz w:val="20"/>
                <w:szCs w:val="20"/>
                <w:lang w:val="fr-CA"/>
              </w:rPr>
            </w:pPr>
            <w:r w:rsidRPr="00295A04">
              <w:rPr>
                <w:lang w:val="fr-CA"/>
              </w:rPr>
              <w:t>https://conception.canada.ca/modeles-recommandes/generique.html</w:t>
            </w:r>
          </w:p>
        </w:tc>
      </w:tr>
      <w:tr w:rsidR="00CB51C6" w:rsidRPr="00CE70F3" w14:paraId="3C5C723D" w14:textId="77777777" w:rsidTr="00DE1885">
        <w:trPr>
          <w:trHeight w:val="546"/>
        </w:trPr>
        <w:tc>
          <w:tcPr>
            <w:tcW w:w="2694" w:type="dxa"/>
            <w:shd w:val="clear" w:color="auto" w:fill="DEEAF6" w:themeFill="accent1" w:themeFillTint="33"/>
          </w:tcPr>
          <w:p w14:paraId="1082E92B" w14:textId="5CA56E3A" w:rsidR="00CB51C6" w:rsidRPr="00295A04" w:rsidRDefault="00CB51C6" w:rsidP="00CB51C6">
            <w:pPr>
              <w:spacing w:after="0"/>
              <w:rPr>
                <w:sz w:val="20"/>
                <w:szCs w:val="20"/>
                <w:lang w:val="fr-CA"/>
              </w:rPr>
            </w:pPr>
            <w:r w:rsidRPr="00295A04">
              <w:rPr>
                <w:sz w:val="16"/>
                <w:lang w:val="fr-CA"/>
              </w:rPr>
              <w:t>Guide de rédaction</w:t>
            </w:r>
          </w:p>
        </w:tc>
        <w:tc>
          <w:tcPr>
            <w:tcW w:w="11616" w:type="dxa"/>
          </w:tcPr>
          <w:p w14:paraId="0937CA66" w14:textId="16140245" w:rsidR="00CB51C6" w:rsidRPr="00295A04" w:rsidRDefault="00804A82" w:rsidP="00CB51C6">
            <w:pPr>
              <w:spacing w:after="0"/>
              <w:rPr>
                <w:rFonts w:cs="Arial"/>
                <w:sz w:val="20"/>
                <w:szCs w:val="20"/>
                <w:lang w:val="fr-CA"/>
              </w:rPr>
            </w:pPr>
            <w:hyperlink r:id="rId8" w:history="1">
              <w:r w:rsidR="00CB51C6" w:rsidRPr="00295A04">
                <w:rPr>
                  <w:rStyle w:val="Hyperlink"/>
                  <w:sz w:val="16"/>
                  <w:lang w:val="fr-CA"/>
                </w:rPr>
                <w:t>https://www.canada.ca/fr/secretariat-conseil-tresor/services/communications-gouvernementales/guide-redaction-contenu-canada.html</w:t>
              </w:r>
            </w:hyperlink>
          </w:p>
        </w:tc>
      </w:tr>
      <w:tr w:rsidR="00DE1885" w:rsidRPr="00295A04" w14:paraId="1BF81B7C" w14:textId="77777777" w:rsidTr="009F5A99">
        <w:trPr>
          <w:trHeight w:val="546"/>
        </w:trPr>
        <w:tc>
          <w:tcPr>
            <w:tcW w:w="2694" w:type="dxa"/>
            <w:tcBorders>
              <w:bottom w:val="single" w:sz="4" w:space="0" w:color="DDD9C3"/>
            </w:tcBorders>
            <w:shd w:val="clear" w:color="auto" w:fill="DEEAF6" w:themeFill="accent1" w:themeFillTint="33"/>
          </w:tcPr>
          <w:p w14:paraId="69028BA6" w14:textId="661D3695" w:rsidR="00DE1885" w:rsidRPr="00295A04" w:rsidRDefault="00D226BA" w:rsidP="003600F1">
            <w:pPr>
              <w:spacing w:after="0"/>
              <w:rPr>
                <w:sz w:val="20"/>
                <w:szCs w:val="20"/>
                <w:lang w:val="fr-CA"/>
              </w:rPr>
            </w:pPr>
            <w:r w:rsidRPr="00295A04">
              <w:rPr>
                <w:sz w:val="20"/>
                <w:szCs w:val="20"/>
                <w:lang w:val="fr-CA"/>
              </w:rPr>
              <w:t>Fil d’Ariane</w:t>
            </w:r>
          </w:p>
        </w:tc>
        <w:tc>
          <w:tcPr>
            <w:tcW w:w="11616" w:type="dxa"/>
            <w:tcBorders>
              <w:bottom w:val="single" w:sz="4" w:space="0" w:color="DDD9C3"/>
            </w:tcBorders>
            <w:shd w:val="clear" w:color="auto" w:fill="F9F9F9"/>
          </w:tcPr>
          <w:p w14:paraId="21B44642" w14:textId="702663EA" w:rsidR="00DE1885" w:rsidRPr="00295A04" w:rsidRDefault="00DE1885" w:rsidP="00D02963">
            <w:pPr>
              <w:spacing w:after="0"/>
              <w:rPr>
                <w:color w:val="F2F2F2" w:themeColor="background1" w:themeShade="F2"/>
                <w:sz w:val="20"/>
                <w:szCs w:val="20"/>
                <w:lang w:val="fr-CA"/>
              </w:rPr>
            </w:pPr>
            <w:r w:rsidRPr="00295A04">
              <w:rPr>
                <w:color w:val="808080" w:themeColor="background1" w:themeShade="80"/>
                <w:sz w:val="20"/>
                <w:szCs w:val="20"/>
                <w:lang w:val="fr-CA"/>
              </w:rPr>
              <w:t>example:</w:t>
            </w:r>
            <w:r w:rsidR="00A85CDE" w:rsidRPr="00295A04">
              <w:rPr>
                <w:lang w:val="fr-CA"/>
              </w:rPr>
              <w:t xml:space="preserve"> </w:t>
            </w:r>
            <w:r w:rsidR="00A85CDE" w:rsidRPr="00295A04">
              <w:rPr>
                <w:sz w:val="20"/>
                <w:szCs w:val="20"/>
                <w:lang w:val="fr-CA"/>
              </w:rPr>
              <w:t xml:space="preserve">Home  &gt; </w:t>
            </w:r>
            <w:r w:rsidR="00D02963" w:rsidRPr="00295A04">
              <w:rPr>
                <w:sz w:val="20"/>
                <w:szCs w:val="20"/>
                <w:lang w:val="fr-CA"/>
              </w:rPr>
              <w:t>Publications</w:t>
            </w:r>
            <w:r w:rsidR="00A85CDE" w:rsidRPr="00295A04">
              <w:rPr>
                <w:sz w:val="20"/>
                <w:szCs w:val="20"/>
                <w:lang w:val="fr-CA"/>
              </w:rPr>
              <w:t xml:space="preserve"> &gt; </w:t>
            </w:r>
            <w:r w:rsidR="00D02963" w:rsidRPr="00295A04">
              <w:rPr>
                <w:sz w:val="20"/>
                <w:szCs w:val="20"/>
                <w:lang w:val="fr-CA"/>
              </w:rPr>
              <w:t>D Memoranda</w:t>
            </w:r>
            <w:r w:rsidR="00A85CDE" w:rsidRPr="00295A04">
              <w:rPr>
                <w:sz w:val="20"/>
                <w:szCs w:val="20"/>
                <w:lang w:val="fr-CA"/>
              </w:rPr>
              <w:t xml:space="preserve"> &gt; </w:t>
            </w:r>
            <w:r w:rsidR="00D02963" w:rsidRPr="00295A04">
              <w:rPr>
                <w:sz w:val="20"/>
                <w:szCs w:val="20"/>
                <w:lang w:val="fr-CA"/>
              </w:rPr>
              <w:t>(Relevant D section)</w:t>
            </w:r>
          </w:p>
        </w:tc>
      </w:tr>
    </w:tbl>
    <w:p w14:paraId="759F633A" w14:textId="5A872249" w:rsidR="00475A5E" w:rsidRPr="00295A04" w:rsidRDefault="003663B2" w:rsidP="00895207">
      <w:pPr>
        <w:pStyle w:val="Heading1"/>
        <w:rPr>
          <w:lang w:val="fr-CA"/>
        </w:rPr>
      </w:pPr>
      <w:r w:rsidRPr="00295A04">
        <w:rPr>
          <w:lang w:val="fr-CA"/>
        </w:rPr>
        <w:t>Mémorandum</w:t>
      </w:r>
      <w:r w:rsidR="008A7944" w:rsidRPr="00295A04">
        <w:rPr>
          <w:lang w:val="fr-CA"/>
        </w:rPr>
        <w:t xml:space="preserve"> D</w:t>
      </w:r>
      <w:r w:rsidR="00DE23CC">
        <w:rPr>
          <w:lang w:val="fr-CA"/>
        </w:rPr>
        <w:t>18</w:t>
      </w:r>
      <w:r w:rsidR="008A7944" w:rsidRPr="00295A04">
        <w:rPr>
          <w:lang w:val="fr-CA"/>
        </w:rPr>
        <w:t>-</w:t>
      </w:r>
      <w:r w:rsidR="00DE23CC">
        <w:rPr>
          <w:lang w:val="fr-CA"/>
        </w:rPr>
        <w:t>3</w:t>
      </w:r>
      <w:r w:rsidR="008A7944" w:rsidRPr="00295A04">
        <w:rPr>
          <w:lang w:val="fr-CA"/>
        </w:rPr>
        <w:t>-</w:t>
      </w:r>
      <w:r w:rsidR="00DE23CC">
        <w:rPr>
          <w:lang w:val="fr-CA"/>
        </w:rPr>
        <w:t>2</w:t>
      </w:r>
      <w:r w:rsidR="007A7932">
        <w:rPr>
          <w:lang w:val="fr-CA"/>
        </w:rPr>
        <w:t xml:space="preserve"> </w:t>
      </w:r>
      <w:r w:rsidR="007A7932" w:rsidRPr="007A7932">
        <w:rPr>
          <w:lang w:val="fr-CA"/>
        </w:rPr>
        <w:t>Cadre de droits d’accise sur les produits de vapotage</w:t>
      </w:r>
    </w:p>
    <w:p w14:paraId="43D2C6F8" w14:textId="77777777" w:rsidR="00DD2701" w:rsidRDefault="00DD2701" w:rsidP="0068637B">
      <w:pPr>
        <w:rPr>
          <w:lang w:val="fr-CA"/>
        </w:rPr>
      </w:pPr>
      <w:bookmarkStart w:id="0" w:name="_GoBack"/>
      <w:bookmarkEnd w:id="0"/>
    </w:p>
    <w:p w14:paraId="6F0AF0DC" w14:textId="20504E26" w:rsidR="00D02963" w:rsidRPr="00295A04" w:rsidRDefault="00D02963" w:rsidP="0068637B">
      <w:pPr>
        <w:rPr>
          <w:lang w:val="fr-CA"/>
        </w:rPr>
      </w:pPr>
      <w:r w:rsidRPr="00295A04">
        <w:rPr>
          <w:lang w:val="fr-CA"/>
        </w:rPr>
        <w:t>ISSN 2369-2391</w:t>
      </w:r>
    </w:p>
    <w:p w14:paraId="48A21BBE" w14:textId="2430FE94" w:rsidR="00FE6683" w:rsidRPr="00295A04" w:rsidRDefault="00D02963" w:rsidP="0068637B">
      <w:pPr>
        <w:rPr>
          <w:lang w:val="fr-CA"/>
        </w:rPr>
      </w:pPr>
      <w:r w:rsidRPr="00295A04">
        <w:rPr>
          <w:lang w:val="fr-CA"/>
        </w:rPr>
        <w:t xml:space="preserve">Ottawa, </w:t>
      </w:r>
      <w:r w:rsidR="00F722E8">
        <w:rPr>
          <w:lang w:val="fr-CA"/>
        </w:rPr>
        <w:t xml:space="preserve">le </w:t>
      </w:r>
      <w:r w:rsidR="00F722E8" w:rsidRPr="00B34419">
        <w:rPr>
          <w:highlight w:val="yellow"/>
          <w:lang w:val="fr-CA"/>
        </w:rPr>
        <w:t>xx</w:t>
      </w:r>
      <w:r w:rsidR="00F722E8" w:rsidRPr="001518BA">
        <w:rPr>
          <w:lang w:val="fr-CA"/>
        </w:rPr>
        <w:t xml:space="preserve"> </w:t>
      </w:r>
      <w:r w:rsidR="00B34419">
        <w:rPr>
          <w:lang w:val="fr-CA"/>
        </w:rPr>
        <w:t>juin</w:t>
      </w:r>
      <w:r w:rsidRPr="001518BA">
        <w:rPr>
          <w:lang w:val="fr-CA"/>
        </w:rPr>
        <w:t xml:space="preserve"> 202</w:t>
      </w:r>
      <w:r w:rsidR="00A64ADE" w:rsidRPr="001518BA">
        <w:rPr>
          <w:lang w:val="fr-CA"/>
        </w:rPr>
        <w:t>4</w:t>
      </w:r>
    </w:p>
    <w:p w14:paraId="2419B9D4" w14:textId="1E290207" w:rsidR="00D02963" w:rsidRPr="00295A04" w:rsidRDefault="00FD771A" w:rsidP="0068637B">
      <w:pPr>
        <w:rPr>
          <w:lang w:val="fr-CA"/>
        </w:rPr>
      </w:pPr>
      <w:r w:rsidRPr="00295A04">
        <w:rPr>
          <w:lang w:val="fr-CA"/>
        </w:rPr>
        <w:t xml:space="preserve">Ce document est également offert en format </w:t>
      </w:r>
      <w:hyperlink r:id="rId9" w:history="1">
        <w:r w:rsidR="00D02963" w:rsidRPr="00295A04">
          <w:rPr>
            <w:rStyle w:val="Hyperlink"/>
            <w:lang w:val="fr-CA"/>
          </w:rPr>
          <w:t>PDF (589 </w:t>
        </w:r>
        <w:r w:rsidRPr="00295A04">
          <w:rPr>
            <w:rStyle w:val="Hyperlink"/>
            <w:lang w:val="fr-CA"/>
          </w:rPr>
          <w:t>Ko</w:t>
        </w:r>
        <w:r w:rsidR="00D02963" w:rsidRPr="00295A04">
          <w:rPr>
            <w:rStyle w:val="Hyperlink"/>
            <w:lang w:val="fr-CA"/>
          </w:rPr>
          <w:t>)</w:t>
        </w:r>
      </w:hyperlink>
      <w:r w:rsidR="00D02963" w:rsidRPr="00295A04">
        <w:rPr>
          <w:lang w:val="fr-CA"/>
        </w:rPr>
        <w:t xml:space="preserve"> [</w:t>
      </w:r>
      <w:hyperlink r:id="rId10" w:history="1">
        <w:r w:rsidRPr="00295A04">
          <w:rPr>
            <w:rStyle w:val="Hyperlink"/>
            <w:lang w:val="fr-CA"/>
          </w:rPr>
          <w:t>aide sur les fichiers PDF</w:t>
        </w:r>
      </w:hyperlink>
      <w:r w:rsidR="00D02963" w:rsidRPr="00295A04">
        <w:rPr>
          <w:lang w:val="fr-CA"/>
        </w:rPr>
        <w:t>]</w:t>
      </w:r>
      <w:r w:rsidR="0090188C" w:rsidRPr="00295A04">
        <w:rPr>
          <w:lang w:val="fr-CA"/>
        </w:rPr>
        <w:t xml:space="preserve"> </w:t>
      </w:r>
    </w:p>
    <w:p w14:paraId="0EE11639" w14:textId="3DA94D17" w:rsidR="008A7944" w:rsidRPr="007B40A9" w:rsidRDefault="007B40A9" w:rsidP="008A7944">
      <w:pPr>
        <w:rPr>
          <w:bCs/>
          <w:color w:val="000000"/>
          <w:sz w:val="36"/>
          <w:szCs w:val="36"/>
          <w:lang w:val="fr-CA" w:eastAsia="en-CA"/>
        </w:rPr>
      </w:pPr>
      <w:r w:rsidRPr="007B40A9">
        <w:rPr>
          <w:lang w:val="fr-CA"/>
        </w:rPr>
        <w:t>Ce mémorandum fournit des renseignements concernant l’administr</w:t>
      </w:r>
      <w:r w:rsidRPr="009B2BAA">
        <w:rPr>
          <w:lang w:val="fr-CA"/>
        </w:rPr>
        <w:t xml:space="preserve">ation et l’application </w:t>
      </w:r>
      <w:r w:rsidR="00FB6DB2" w:rsidRPr="00CE70F3">
        <w:rPr>
          <w:lang w:val="fr-CA"/>
        </w:rPr>
        <w:t>du cadre des droits d'accise sur les produits de vapotage en vertu</w:t>
      </w:r>
      <w:r w:rsidR="00FB6DB2" w:rsidRPr="009B2BAA">
        <w:rPr>
          <w:lang w:val="fr-CA"/>
        </w:rPr>
        <w:t xml:space="preserve"> </w:t>
      </w:r>
      <w:r w:rsidRPr="009B2BAA">
        <w:rPr>
          <w:lang w:val="fr-CA"/>
        </w:rPr>
        <w:t xml:space="preserve">de la </w:t>
      </w:r>
      <w:r w:rsidRPr="009B2BAA">
        <w:rPr>
          <w:i/>
          <w:lang w:val="fr-CA"/>
        </w:rPr>
        <w:t>Loi de 2001</w:t>
      </w:r>
      <w:r w:rsidRPr="00C03B3E">
        <w:rPr>
          <w:i/>
          <w:lang w:val="fr-CA"/>
        </w:rPr>
        <w:t xml:space="preserve"> sur l’accise</w:t>
      </w:r>
      <w:r w:rsidRPr="007B40A9">
        <w:rPr>
          <w:lang w:val="fr-CA"/>
        </w:rPr>
        <w:t xml:space="preserve"> et de la </w:t>
      </w:r>
      <w:r w:rsidRPr="00C03B3E">
        <w:rPr>
          <w:i/>
          <w:lang w:val="fr-CA"/>
        </w:rPr>
        <w:t xml:space="preserve">Loi sur les </w:t>
      </w:r>
      <w:r w:rsidRPr="00F373A7">
        <w:rPr>
          <w:i/>
          <w:lang w:val="fr-CA"/>
        </w:rPr>
        <w:t>douanes</w:t>
      </w:r>
      <w:r w:rsidRPr="00F373A7">
        <w:rPr>
          <w:lang w:val="fr-CA"/>
        </w:rPr>
        <w:t xml:space="preserve"> (la </w:t>
      </w:r>
      <w:r w:rsidRPr="00F373A7">
        <w:rPr>
          <w:i/>
          <w:lang w:val="fr-CA"/>
        </w:rPr>
        <w:t>Loi</w:t>
      </w:r>
      <w:r w:rsidRPr="00F373A7">
        <w:rPr>
          <w:lang w:val="fr-CA"/>
        </w:rPr>
        <w:t>).</w:t>
      </w:r>
    </w:p>
    <w:p w14:paraId="583B2275" w14:textId="77777777" w:rsidR="00217377" w:rsidRDefault="00217377" w:rsidP="000A6694">
      <w:pPr>
        <w:pStyle w:val="Heading2"/>
      </w:pPr>
    </w:p>
    <w:p w14:paraId="689A6D67" w14:textId="25160143" w:rsidR="00472E1E" w:rsidRPr="00472E1E" w:rsidRDefault="00445C65" w:rsidP="000A6694">
      <w:pPr>
        <w:pStyle w:val="Heading2"/>
        <w:rPr>
          <w:highlight w:val="yellow"/>
        </w:rPr>
      </w:pPr>
      <w:r w:rsidRPr="00295A04">
        <w:t xml:space="preserve">Sur </w:t>
      </w:r>
      <w:r w:rsidRPr="00472E1E">
        <w:t>cette page</w:t>
      </w:r>
      <w:r w:rsidR="00F73D1A" w:rsidRPr="00295A04">
        <w:t xml:space="preserve"> </w:t>
      </w:r>
    </w:p>
    <w:p w14:paraId="7B237227" w14:textId="4D09C7A4" w:rsidR="00EC3C42" w:rsidRPr="00295A04" w:rsidRDefault="00804A82" w:rsidP="00034550">
      <w:pPr>
        <w:pStyle w:val="ListParagraph"/>
        <w:numPr>
          <w:ilvl w:val="0"/>
          <w:numId w:val="1"/>
        </w:numPr>
        <w:rPr>
          <w:rStyle w:val="Hyperlink"/>
          <w:color w:val="auto"/>
          <w:u w:val="none"/>
          <w:lang w:val="fr-CA"/>
        </w:rPr>
      </w:pPr>
      <w:hyperlink w:anchor="H01" w:history="1">
        <w:r w:rsidR="00472E1E" w:rsidRPr="005935C3">
          <w:rPr>
            <w:rStyle w:val="Hyperlink"/>
            <w:lang w:val="fr-CA"/>
          </w:rPr>
          <w:t>Mises à jour apportées à ce mémorandum D</w:t>
        </w:r>
      </w:hyperlink>
      <w:r w:rsidR="00472E1E" w:rsidRPr="00472E1E">
        <w:rPr>
          <w:lang w:val="fr-CA"/>
        </w:rPr>
        <w:t xml:space="preserve"> </w:t>
      </w:r>
    </w:p>
    <w:p w14:paraId="38CD958B" w14:textId="323BF5C8" w:rsidR="00472E1E" w:rsidRPr="00295A04" w:rsidRDefault="00CE70F3" w:rsidP="00034550">
      <w:pPr>
        <w:pStyle w:val="ListParagraph"/>
        <w:numPr>
          <w:ilvl w:val="0"/>
          <w:numId w:val="1"/>
        </w:numPr>
        <w:rPr>
          <w:rStyle w:val="Hyperlink"/>
          <w:color w:val="auto"/>
          <w:u w:val="none"/>
          <w:lang w:val="fr-CA"/>
        </w:rPr>
      </w:pPr>
      <w:hyperlink w:anchor="H02" w:history="1">
        <w:r w:rsidR="00472E1E" w:rsidRPr="005935C3">
          <w:rPr>
            <w:rStyle w:val="Hyperlink"/>
            <w:lang w:val="fr-CA"/>
          </w:rPr>
          <w:t>Définitions</w:t>
        </w:r>
      </w:hyperlink>
    </w:p>
    <w:p w14:paraId="239B75F6" w14:textId="7EDDD0FA" w:rsidR="00F73D1A" w:rsidRPr="00B83DE9" w:rsidRDefault="00CE70F3" w:rsidP="00034550">
      <w:pPr>
        <w:pStyle w:val="ListParagraph"/>
        <w:numPr>
          <w:ilvl w:val="0"/>
          <w:numId w:val="1"/>
        </w:numPr>
        <w:rPr>
          <w:rStyle w:val="Hyperlink"/>
          <w:color w:val="auto"/>
          <w:u w:val="none"/>
          <w:lang w:val="fr-CA"/>
        </w:rPr>
      </w:pPr>
      <w:hyperlink w:anchor="H03" w:history="1">
        <w:r w:rsidR="00FD771A" w:rsidRPr="00F71ECF">
          <w:rPr>
            <w:rStyle w:val="Hyperlink"/>
            <w:lang w:val="fr-CA"/>
          </w:rPr>
          <w:t>Lignes directrices</w:t>
        </w:r>
      </w:hyperlink>
    </w:p>
    <w:p w14:paraId="3AC749B1" w14:textId="10501E69" w:rsidR="00B83DE9" w:rsidRPr="00CE70F3" w:rsidRDefault="00CE70F3" w:rsidP="00F71ECF">
      <w:pPr>
        <w:pStyle w:val="ListParagraph"/>
        <w:numPr>
          <w:ilvl w:val="1"/>
          <w:numId w:val="1"/>
        </w:numPr>
        <w:rPr>
          <w:rStyle w:val="Hyperlink"/>
          <w:color w:val="auto"/>
          <w:u w:val="none"/>
          <w:lang w:val="fr-CA"/>
        </w:rPr>
      </w:pPr>
      <w:hyperlink w:anchor="SH01" w:history="1">
        <w:r w:rsidR="00F71ECF" w:rsidRPr="00F71ECF">
          <w:rPr>
            <w:rStyle w:val="Hyperlink"/>
            <w:lang w:val="fr-CA"/>
          </w:rPr>
          <w:t>Date d’entrée en vigueur</w:t>
        </w:r>
      </w:hyperlink>
    </w:p>
    <w:p w14:paraId="6CAB5C5D" w14:textId="6270B008" w:rsidR="00ED6C9F" w:rsidRDefault="00ED6C9F" w:rsidP="00ED6C9F">
      <w:pPr>
        <w:pStyle w:val="ListParagraph"/>
        <w:numPr>
          <w:ilvl w:val="1"/>
          <w:numId w:val="1"/>
        </w:numPr>
        <w:rPr>
          <w:rStyle w:val="Hyperlink"/>
          <w:color w:val="auto"/>
          <w:u w:val="none"/>
          <w:lang w:val="fr-CA"/>
        </w:rPr>
      </w:pPr>
      <w:hyperlink w:anchor="_Mesures_transitoires_–" w:history="1">
        <w:r w:rsidRPr="00ED6C9F">
          <w:rPr>
            <w:rStyle w:val="Hyperlink"/>
            <w:lang w:val="fr-CA"/>
          </w:rPr>
          <w:t>Mesures transitoires – droit de vapotage additionnel sur le vapotage</w:t>
        </w:r>
      </w:hyperlink>
    </w:p>
    <w:p w14:paraId="58EDEBB6" w14:textId="78C4F266" w:rsidR="00F71ECF" w:rsidRDefault="00CE70F3" w:rsidP="00F71ECF">
      <w:pPr>
        <w:pStyle w:val="ListParagraph"/>
        <w:numPr>
          <w:ilvl w:val="1"/>
          <w:numId w:val="1"/>
        </w:numPr>
        <w:rPr>
          <w:rStyle w:val="Hyperlink"/>
          <w:color w:val="auto"/>
          <w:u w:val="none"/>
          <w:lang w:val="fr-CA"/>
        </w:rPr>
      </w:pPr>
      <w:hyperlink w:anchor="SH02" w:history="1">
        <w:r w:rsidR="00F71ECF" w:rsidRPr="00F71ECF">
          <w:rPr>
            <w:rStyle w:val="Hyperlink"/>
            <w:lang w:val="fr-CA"/>
          </w:rPr>
          <w:t>Devises</w:t>
        </w:r>
      </w:hyperlink>
    </w:p>
    <w:p w14:paraId="36943E59" w14:textId="0A55A42F" w:rsidR="00F71ECF" w:rsidRDefault="00CE70F3" w:rsidP="00F71ECF">
      <w:pPr>
        <w:pStyle w:val="ListParagraph"/>
        <w:numPr>
          <w:ilvl w:val="1"/>
          <w:numId w:val="1"/>
        </w:numPr>
        <w:rPr>
          <w:rStyle w:val="Hyperlink"/>
          <w:color w:val="auto"/>
          <w:u w:val="none"/>
          <w:lang w:val="fr-CA"/>
        </w:rPr>
      </w:pPr>
      <w:hyperlink w:anchor="SH03" w:history="1">
        <w:r w:rsidR="00F71ECF" w:rsidRPr="00F71ECF">
          <w:rPr>
            <w:rStyle w:val="Hyperlink"/>
            <w:lang w:val="fr-CA"/>
          </w:rPr>
          <w:t>Santé Canada — Conformité</w:t>
        </w:r>
      </w:hyperlink>
    </w:p>
    <w:p w14:paraId="1288449E" w14:textId="41DA3D85" w:rsidR="00F71ECF" w:rsidRDefault="00804A82" w:rsidP="004D4E91">
      <w:pPr>
        <w:pStyle w:val="ListParagraph"/>
        <w:numPr>
          <w:ilvl w:val="1"/>
          <w:numId w:val="1"/>
        </w:numPr>
        <w:rPr>
          <w:rStyle w:val="Hyperlink"/>
          <w:color w:val="auto"/>
          <w:u w:val="none"/>
          <w:lang w:val="fr-CA"/>
        </w:rPr>
      </w:pPr>
      <w:hyperlink w:anchor="SH04" w:history="1">
        <w:r w:rsidR="004D4E91" w:rsidRPr="004D4E91">
          <w:rPr>
            <w:rStyle w:val="Hyperlink"/>
            <w:lang w:val="fr-CA"/>
          </w:rPr>
          <w:t>Portée du cadre des droits d’accise sur les produits de vapotage</w:t>
        </w:r>
      </w:hyperlink>
    </w:p>
    <w:p w14:paraId="6C76E53D" w14:textId="6AD6065E" w:rsidR="004D4E91" w:rsidRDefault="00CE70F3" w:rsidP="004D4E91">
      <w:pPr>
        <w:pStyle w:val="ListParagraph"/>
        <w:numPr>
          <w:ilvl w:val="1"/>
          <w:numId w:val="1"/>
        </w:numPr>
        <w:rPr>
          <w:rStyle w:val="Hyperlink"/>
          <w:color w:val="auto"/>
          <w:u w:val="none"/>
          <w:lang w:val="fr-CA"/>
        </w:rPr>
      </w:pPr>
      <w:hyperlink w:anchor="SH05" w:history="1">
        <w:r w:rsidR="004D4E91" w:rsidRPr="004D4E91">
          <w:rPr>
            <w:rStyle w:val="Hyperlink"/>
            <w:lang w:val="fr-CA"/>
          </w:rPr>
          <w:t>Licences — exigences</w:t>
        </w:r>
      </w:hyperlink>
    </w:p>
    <w:p w14:paraId="552726D1" w14:textId="73BE332F" w:rsidR="002B616E" w:rsidRDefault="00804A82" w:rsidP="002B616E">
      <w:pPr>
        <w:pStyle w:val="ListParagraph"/>
        <w:numPr>
          <w:ilvl w:val="1"/>
          <w:numId w:val="1"/>
        </w:numPr>
        <w:rPr>
          <w:rStyle w:val="Hyperlink"/>
          <w:color w:val="auto"/>
          <w:u w:val="none"/>
          <w:lang w:val="fr-CA"/>
        </w:rPr>
      </w:pPr>
      <w:hyperlink w:anchor="SH09" w:history="1">
        <w:r w:rsidR="002B616E" w:rsidRPr="002B616E">
          <w:rPr>
            <w:rStyle w:val="Hyperlink"/>
            <w:lang w:val="fr-CA"/>
          </w:rPr>
          <w:t>Inscription au régime d’estampillage des produits de vapotage</w:t>
        </w:r>
      </w:hyperlink>
    </w:p>
    <w:p w14:paraId="62BE999E" w14:textId="64CD8D6A" w:rsidR="002B616E" w:rsidRDefault="00BD217F" w:rsidP="0030415C">
      <w:pPr>
        <w:pStyle w:val="ListParagraph"/>
        <w:numPr>
          <w:ilvl w:val="1"/>
          <w:numId w:val="1"/>
        </w:numPr>
        <w:rPr>
          <w:rStyle w:val="Hyperlink"/>
          <w:color w:val="auto"/>
          <w:u w:val="none"/>
          <w:lang w:val="fr-CA"/>
        </w:rPr>
      </w:pPr>
      <w:hyperlink w:anchor="_Inscription_au_régime" w:history="1">
        <w:r w:rsidRPr="00BD217F">
          <w:rPr>
            <w:rStyle w:val="Hyperlink"/>
            <w:lang w:val="fr-CA"/>
          </w:rPr>
          <w:t>Inscription au régime d’estampillage des produits de vapotage – exceptions</w:t>
        </w:r>
      </w:hyperlink>
    </w:p>
    <w:p w14:paraId="4DD3A363" w14:textId="2997E4BE" w:rsidR="0030415C" w:rsidRDefault="00804A82" w:rsidP="0030415C">
      <w:pPr>
        <w:pStyle w:val="ListParagraph"/>
        <w:numPr>
          <w:ilvl w:val="1"/>
          <w:numId w:val="1"/>
        </w:numPr>
        <w:rPr>
          <w:rStyle w:val="Hyperlink"/>
          <w:color w:val="auto"/>
          <w:u w:val="none"/>
          <w:lang w:val="fr-CA"/>
        </w:rPr>
      </w:pPr>
      <w:hyperlink w:anchor="SH11" w:history="1">
        <w:r w:rsidR="0030415C" w:rsidRPr="0030415C">
          <w:rPr>
            <w:rStyle w:val="Hyperlink"/>
            <w:lang w:val="fr-CA"/>
          </w:rPr>
          <w:t>Timbres d'accise de vapotage – processus de commande</w:t>
        </w:r>
      </w:hyperlink>
    </w:p>
    <w:p w14:paraId="432F2238" w14:textId="270FB1E3" w:rsidR="000B6234" w:rsidRDefault="00ED6C9F" w:rsidP="00813FD4">
      <w:pPr>
        <w:pStyle w:val="ListParagraph"/>
        <w:numPr>
          <w:ilvl w:val="1"/>
          <w:numId w:val="1"/>
        </w:numPr>
        <w:rPr>
          <w:rStyle w:val="Hyperlink"/>
          <w:color w:val="auto"/>
          <w:u w:val="none"/>
          <w:lang w:val="fr-CA"/>
        </w:rPr>
      </w:pPr>
      <w:hyperlink w:anchor="SH12" w:history="1">
        <w:r w:rsidR="00813FD4" w:rsidRPr="00813FD4">
          <w:rPr>
            <w:rStyle w:val="Hyperlink"/>
            <w:lang w:val="fr-CA"/>
          </w:rPr>
          <w:t>Estampillage des produits de vapotage</w:t>
        </w:r>
      </w:hyperlink>
    </w:p>
    <w:p w14:paraId="202817C0" w14:textId="2F14495A" w:rsidR="00813FD4" w:rsidRDefault="00804A82" w:rsidP="00D7741E">
      <w:pPr>
        <w:pStyle w:val="ListParagraph"/>
        <w:numPr>
          <w:ilvl w:val="1"/>
          <w:numId w:val="1"/>
        </w:numPr>
        <w:rPr>
          <w:rStyle w:val="Hyperlink"/>
          <w:color w:val="auto"/>
          <w:u w:val="none"/>
          <w:lang w:val="fr-CA"/>
        </w:rPr>
      </w:pPr>
      <w:hyperlink w:anchor="SH13" w:history="1">
        <w:r w:rsidR="00D7741E" w:rsidRPr="00D7741E">
          <w:rPr>
            <w:rStyle w:val="Hyperlink"/>
            <w:lang w:val="fr-CA"/>
          </w:rPr>
          <w:t>Estampillage des produits de vapotage – exceptions</w:t>
        </w:r>
      </w:hyperlink>
    </w:p>
    <w:p w14:paraId="3BA23B55" w14:textId="54958A7B" w:rsidR="00D7741E" w:rsidRDefault="00117000" w:rsidP="005A1FB8">
      <w:pPr>
        <w:pStyle w:val="ListParagraph"/>
        <w:numPr>
          <w:ilvl w:val="1"/>
          <w:numId w:val="1"/>
        </w:numPr>
        <w:rPr>
          <w:rStyle w:val="Hyperlink"/>
          <w:color w:val="auto"/>
          <w:u w:val="none"/>
          <w:lang w:val="fr-CA"/>
        </w:rPr>
      </w:pPr>
      <w:r>
        <w:rPr>
          <w:rStyle w:val="Hyperlink"/>
          <w:lang w:val="fr-CA"/>
        </w:rPr>
        <w:t xml:space="preserve"> </w:t>
      </w:r>
      <w:hyperlink w:anchor="_Importation_de_produits" w:history="1">
        <w:r w:rsidRPr="00117000">
          <w:rPr>
            <w:rStyle w:val="Hyperlink"/>
            <w:lang w:val="fr-CA"/>
          </w:rPr>
          <w:t xml:space="preserve">Importation de produits de vapotage non estampillés – non destinés au marché canadien des marchandises acquittées </w:t>
        </w:r>
      </w:hyperlink>
      <w:r w:rsidRPr="00117000">
        <w:rPr>
          <w:rStyle w:val="Hyperlink"/>
          <w:lang w:val="fr-CA"/>
        </w:rPr>
        <w:t xml:space="preserve"> </w:t>
      </w:r>
      <w:hyperlink w:anchor="SH15" w:history="1">
        <w:r w:rsidR="005A1FB8" w:rsidRPr="005A1FB8">
          <w:rPr>
            <w:rStyle w:val="Hyperlink"/>
            <w:lang w:val="fr-CA"/>
          </w:rPr>
          <w:t>Importation de produits</w:t>
        </w:r>
        <w:r w:rsidR="00673BB7">
          <w:rPr>
            <w:rStyle w:val="Hyperlink"/>
            <w:lang w:val="fr-CA"/>
          </w:rPr>
          <w:t xml:space="preserve"> de vapotage non estampillés – d</w:t>
        </w:r>
        <w:r w:rsidR="005A1FB8" w:rsidRPr="005A1FB8">
          <w:rPr>
            <w:rStyle w:val="Hyperlink"/>
            <w:lang w:val="fr-CA"/>
          </w:rPr>
          <w:t>estinés au marché canadien des  marchandises acquittées</w:t>
        </w:r>
      </w:hyperlink>
    </w:p>
    <w:p w14:paraId="05D690A6" w14:textId="07EE82F4" w:rsidR="007C537A" w:rsidRPr="001B666A" w:rsidRDefault="00804A82" w:rsidP="00063864">
      <w:pPr>
        <w:pStyle w:val="ListParagraph"/>
        <w:numPr>
          <w:ilvl w:val="1"/>
          <w:numId w:val="1"/>
        </w:numPr>
        <w:rPr>
          <w:rStyle w:val="Hyperlink"/>
          <w:color w:val="auto"/>
          <w:u w:val="none"/>
          <w:lang w:val="fr-CA"/>
        </w:rPr>
      </w:pPr>
      <w:hyperlink w:anchor="SH16" w:history="1">
        <w:r w:rsidR="008F6722" w:rsidRPr="001B666A">
          <w:rPr>
            <w:rStyle w:val="Hyperlink"/>
            <w:lang w:val="fr-CA"/>
          </w:rPr>
          <w:t xml:space="preserve">Droit sur le vapotage </w:t>
        </w:r>
        <w:r w:rsidR="00673BB7" w:rsidRPr="00CE70F3">
          <w:rPr>
            <w:rStyle w:val="Hyperlink"/>
            <w:lang w:val="fr-CA"/>
          </w:rPr>
          <w:t>et droit additionnel</w:t>
        </w:r>
        <w:r w:rsidR="00E44CDB" w:rsidRPr="001B666A">
          <w:rPr>
            <w:rStyle w:val="Hyperlink"/>
            <w:lang w:val="fr-CA"/>
          </w:rPr>
          <w:t xml:space="preserve"> sur le vapotage</w:t>
        </w:r>
        <w:r w:rsidR="00673BB7" w:rsidRPr="00CE70F3">
          <w:rPr>
            <w:rStyle w:val="Hyperlink"/>
            <w:lang w:val="fr-CA"/>
          </w:rPr>
          <w:t xml:space="preserve"> </w:t>
        </w:r>
        <w:r w:rsidR="00673BB7" w:rsidRPr="001B666A">
          <w:rPr>
            <w:rStyle w:val="Hyperlink"/>
            <w:lang w:val="fr-CA"/>
          </w:rPr>
          <w:t>- e</w:t>
        </w:r>
        <w:r w:rsidR="008F6722" w:rsidRPr="001B666A">
          <w:rPr>
            <w:rStyle w:val="Hyperlink"/>
            <w:lang w:val="fr-CA"/>
          </w:rPr>
          <w:t>xonéré ou non exigible</w:t>
        </w:r>
      </w:hyperlink>
    </w:p>
    <w:p w14:paraId="3D0B0E42" w14:textId="1A4FF672" w:rsidR="008E5088" w:rsidRPr="00CE70F3" w:rsidRDefault="0035734E" w:rsidP="008E5088">
      <w:pPr>
        <w:pStyle w:val="ListParagraph"/>
        <w:numPr>
          <w:ilvl w:val="1"/>
          <w:numId w:val="1"/>
        </w:numPr>
        <w:rPr>
          <w:rStyle w:val="Hyperlink"/>
          <w:lang w:val="fr-CA"/>
        </w:rPr>
      </w:pPr>
      <w:hyperlink w:anchor="_Importation_de_produits_1" w:history="1">
        <w:r w:rsidRPr="00CE70F3">
          <w:rPr>
            <w:rStyle w:val="Hyperlink"/>
            <w:lang w:val="fr-CA"/>
          </w:rPr>
          <w:t>Importation de produits de vapotage estampillés – destinés au marché canadien des  marchandises acquittées</w:t>
        </w:r>
      </w:hyperlink>
    </w:p>
    <w:p w14:paraId="6BAE072E" w14:textId="617D85CC" w:rsidR="008F6722" w:rsidRPr="00CE70F3" w:rsidRDefault="00412CC3" w:rsidP="00CE70F3">
      <w:pPr>
        <w:pStyle w:val="ListParagraph"/>
        <w:numPr>
          <w:ilvl w:val="1"/>
          <w:numId w:val="1"/>
        </w:numPr>
        <w:rPr>
          <w:rStyle w:val="Hyperlink"/>
          <w:lang w:val="fr-CA"/>
        </w:rPr>
      </w:pPr>
      <w:hyperlink w:anchor="_Droit_sur_le" w:history="1">
        <w:r w:rsidRPr="00412CC3">
          <w:rPr>
            <w:rStyle w:val="Hyperlink"/>
            <w:lang w:val="fr-CA"/>
          </w:rPr>
          <w:t xml:space="preserve">Droit sur le vapotage </w:t>
        </w:r>
        <w:r w:rsidRPr="00CE70F3">
          <w:rPr>
            <w:rStyle w:val="Hyperlink"/>
            <w:lang w:val="fr-CA"/>
          </w:rPr>
          <w:t xml:space="preserve">et droit additionnel </w:t>
        </w:r>
        <w:r w:rsidRPr="00412CC3">
          <w:rPr>
            <w:rStyle w:val="Hyperlink"/>
            <w:lang w:val="fr-CA"/>
          </w:rPr>
          <w:t>sur le vapotage - exigible</w:t>
        </w:r>
        <w:r w:rsidR="008E5088" w:rsidRPr="00412CC3">
          <w:rPr>
            <w:rStyle w:val="Hyperlink"/>
            <w:lang w:val="fr-CA"/>
          </w:rPr>
          <w:t>s</w:t>
        </w:r>
      </w:hyperlink>
    </w:p>
    <w:p w14:paraId="4BC92E9B" w14:textId="4207B91B" w:rsidR="00164E68" w:rsidRDefault="00412CC3" w:rsidP="00A02F11">
      <w:pPr>
        <w:pStyle w:val="ListParagraph"/>
        <w:numPr>
          <w:ilvl w:val="1"/>
          <w:numId w:val="1"/>
        </w:numPr>
        <w:rPr>
          <w:rStyle w:val="Hyperlink"/>
          <w:color w:val="auto"/>
          <w:u w:val="none"/>
          <w:lang w:val="fr-CA"/>
        </w:rPr>
      </w:pPr>
      <w:hyperlink w:anchor="_Taux_du_droit" w:history="1">
        <w:r w:rsidRPr="00412CC3">
          <w:rPr>
            <w:rStyle w:val="Hyperlink"/>
            <w:lang w:val="fr-CA"/>
          </w:rPr>
          <w:t>Taux du droit sur le vapotage et du droit de vapotage additionnel sur le vapotage</w:t>
        </w:r>
      </w:hyperlink>
      <w:r>
        <w:rPr>
          <w:rStyle w:val="Hyperlink"/>
          <w:lang w:val="fr-CA"/>
        </w:rPr>
        <w:t xml:space="preserve"> </w:t>
      </w:r>
      <w:hyperlink w:anchor="SH20" w:history="1">
        <w:r w:rsidR="00A02F11" w:rsidRPr="00A02F11">
          <w:rPr>
            <w:rStyle w:val="Hyperlink"/>
            <w:lang w:val="fr-CA"/>
          </w:rPr>
          <w:t>Valeur pour taxe</w:t>
        </w:r>
      </w:hyperlink>
    </w:p>
    <w:p w14:paraId="1BFDE978" w14:textId="6FD008C3" w:rsidR="00164E68" w:rsidRPr="00CE70F3" w:rsidRDefault="00804A82" w:rsidP="00A02F11">
      <w:pPr>
        <w:pStyle w:val="ListParagraph"/>
        <w:numPr>
          <w:ilvl w:val="1"/>
          <w:numId w:val="1"/>
        </w:numPr>
        <w:rPr>
          <w:rStyle w:val="Hyperlink"/>
          <w:color w:val="auto"/>
          <w:u w:val="none"/>
          <w:lang w:val="fr-CA"/>
        </w:rPr>
      </w:pPr>
      <w:hyperlink w:anchor="SH21" w:history="1">
        <w:r w:rsidR="00A02F11" w:rsidRPr="00A02F11">
          <w:rPr>
            <w:rStyle w:val="Hyperlink"/>
            <w:lang w:val="fr-CA"/>
          </w:rPr>
          <w:t>TPS/TVH et taxe de vente provinciale</w:t>
        </w:r>
      </w:hyperlink>
    </w:p>
    <w:p w14:paraId="1AED1BF3" w14:textId="4748ED2C" w:rsidR="00412CC3" w:rsidRDefault="00412CC3" w:rsidP="00412CC3">
      <w:pPr>
        <w:pStyle w:val="ListParagraph"/>
        <w:numPr>
          <w:ilvl w:val="1"/>
          <w:numId w:val="1"/>
        </w:numPr>
        <w:rPr>
          <w:rStyle w:val="Hyperlink"/>
          <w:color w:val="auto"/>
          <w:u w:val="none"/>
          <w:lang w:val="fr-CA"/>
        </w:rPr>
      </w:pPr>
      <w:hyperlink w:anchor="_Autres_droits_et" w:history="1">
        <w:r w:rsidRPr="00412CC3">
          <w:rPr>
            <w:rStyle w:val="Hyperlink"/>
            <w:lang w:val="fr-CA"/>
          </w:rPr>
          <w:t>Autres droits et taxes exigibles quand le droit sur le vapotage et le droit additionnel sur le vapotage sont non exigibles</w:t>
        </w:r>
      </w:hyperlink>
    </w:p>
    <w:p w14:paraId="11444E97" w14:textId="73F86C4D" w:rsidR="00B976EE" w:rsidRPr="00AE4390" w:rsidRDefault="00AE4390" w:rsidP="00A42D2D">
      <w:pPr>
        <w:pStyle w:val="ListParagraph"/>
        <w:numPr>
          <w:ilvl w:val="1"/>
          <w:numId w:val="1"/>
        </w:numPr>
        <w:rPr>
          <w:rStyle w:val="Hyperlink"/>
          <w:lang w:val="fr-CA"/>
        </w:rPr>
      </w:pPr>
      <w:r>
        <w:rPr>
          <w:lang w:val="fr-CA"/>
        </w:rPr>
        <w:fldChar w:fldCharType="begin"/>
      </w:r>
      <w:r>
        <w:rPr>
          <w:lang w:val="fr-CA"/>
        </w:rPr>
        <w:instrText xml:space="preserve"> HYPERLINK  \l "_Exemples_illustratifs" </w:instrText>
      </w:r>
      <w:r>
        <w:rPr>
          <w:lang w:val="fr-CA"/>
        </w:rPr>
        <w:fldChar w:fldCharType="separate"/>
      </w:r>
      <w:r w:rsidR="00A42D2D" w:rsidRPr="00AE4390">
        <w:rPr>
          <w:rStyle w:val="Hyperlink"/>
          <w:lang w:val="fr-CA"/>
        </w:rPr>
        <w:t>Exemples illustratifs</w:t>
      </w:r>
    </w:p>
    <w:p w14:paraId="6752A1F3" w14:textId="1E2D942E" w:rsidR="00B976EE" w:rsidRDefault="00AE4390" w:rsidP="009B2B81">
      <w:pPr>
        <w:pStyle w:val="ListParagraph"/>
        <w:numPr>
          <w:ilvl w:val="1"/>
          <w:numId w:val="1"/>
        </w:numPr>
        <w:rPr>
          <w:rStyle w:val="Hyperlink"/>
          <w:color w:val="auto"/>
          <w:u w:val="none"/>
          <w:lang w:val="fr-CA"/>
        </w:rPr>
      </w:pPr>
      <w:r>
        <w:rPr>
          <w:lang w:val="fr-CA"/>
        </w:rPr>
        <w:fldChar w:fldCharType="end"/>
      </w:r>
      <w:hyperlink w:anchor="SH23" w:history="1">
        <w:r w:rsidR="009B2B81" w:rsidRPr="009B2B81">
          <w:rPr>
            <w:rStyle w:val="Hyperlink"/>
            <w:lang w:val="fr-CA"/>
          </w:rPr>
          <w:t>Numéros de classement tarifaire</w:t>
        </w:r>
      </w:hyperlink>
    </w:p>
    <w:p w14:paraId="14E6A723" w14:textId="34760598" w:rsidR="009B2B81" w:rsidRDefault="00CE70F3" w:rsidP="00EC7895">
      <w:pPr>
        <w:pStyle w:val="ListParagraph"/>
        <w:numPr>
          <w:ilvl w:val="1"/>
          <w:numId w:val="1"/>
        </w:numPr>
        <w:rPr>
          <w:rStyle w:val="Hyperlink"/>
          <w:color w:val="auto"/>
          <w:u w:val="none"/>
          <w:lang w:val="fr-CA"/>
        </w:rPr>
      </w:pPr>
      <w:hyperlink w:anchor="SH24" w:history="1">
        <w:r w:rsidR="00EC7895" w:rsidRPr="00EC7895">
          <w:rPr>
            <w:rStyle w:val="Hyperlink"/>
            <w:lang w:val="fr-CA"/>
          </w:rPr>
          <w:t>Décisions</w:t>
        </w:r>
      </w:hyperlink>
    </w:p>
    <w:p w14:paraId="41CC6ED3" w14:textId="272B083C" w:rsidR="00513AE4" w:rsidRPr="00063864" w:rsidRDefault="00804A82" w:rsidP="00063864">
      <w:pPr>
        <w:pStyle w:val="ListParagraph"/>
        <w:numPr>
          <w:ilvl w:val="1"/>
          <w:numId w:val="1"/>
        </w:numPr>
        <w:rPr>
          <w:rStyle w:val="Hyperlink"/>
          <w:color w:val="auto"/>
          <w:u w:val="none"/>
          <w:lang w:val="fr-CA"/>
        </w:rPr>
      </w:pPr>
      <w:hyperlink w:anchor="SH25" w:history="1">
        <w:r w:rsidR="00EC7895" w:rsidRPr="00EC7895">
          <w:rPr>
            <w:rStyle w:val="Hyperlink"/>
            <w:lang w:val="fr-CA"/>
          </w:rPr>
          <w:t>Déclaration et déclaration en détail des produits de vapotage</w:t>
        </w:r>
      </w:hyperlink>
    </w:p>
    <w:p w14:paraId="3F125D92" w14:textId="29E712CF" w:rsidR="009B2B81" w:rsidRPr="00FF6018" w:rsidRDefault="00804A82" w:rsidP="000946F1">
      <w:pPr>
        <w:pStyle w:val="ListParagraph"/>
        <w:numPr>
          <w:ilvl w:val="1"/>
          <w:numId w:val="1"/>
        </w:numPr>
        <w:rPr>
          <w:rStyle w:val="Hyperlink"/>
          <w:color w:val="auto"/>
          <w:u w:val="none"/>
          <w:lang w:val="fr-CA"/>
        </w:rPr>
      </w:pPr>
      <w:hyperlink w:anchor="_Déclaration_en_détail" w:history="1">
        <w:r w:rsidR="000946F1" w:rsidRPr="00FF6018">
          <w:rPr>
            <w:rStyle w:val="Hyperlink"/>
            <w:lang w:val="fr-CA"/>
          </w:rPr>
          <w:t xml:space="preserve">Déclaration en détail </w:t>
        </w:r>
        <w:r w:rsidR="001B666A" w:rsidRPr="00FF6018">
          <w:rPr>
            <w:rStyle w:val="Hyperlink"/>
            <w:lang w:val="fr-CA"/>
          </w:rPr>
          <w:t>des</w:t>
        </w:r>
        <w:r w:rsidR="001B666A" w:rsidRPr="00CE70F3">
          <w:rPr>
            <w:rStyle w:val="Hyperlink"/>
            <w:lang w:val="fr-CA"/>
          </w:rPr>
          <w:t xml:space="preserve"> </w:t>
        </w:r>
        <w:r w:rsidR="009640DA" w:rsidRPr="00CE70F3">
          <w:rPr>
            <w:rStyle w:val="Hyperlink"/>
            <w:lang w:val="fr-CA"/>
          </w:rPr>
          <w:t xml:space="preserve">marchandises commerciales - droit sur le vapotage </w:t>
        </w:r>
        <w:r w:rsidR="001B666A" w:rsidRPr="00FF6018">
          <w:rPr>
            <w:rStyle w:val="Hyperlink"/>
            <w:lang w:val="fr-CA"/>
          </w:rPr>
          <w:t>exigible</w:t>
        </w:r>
        <w:r w:rsidR="001B666A" w:rsidRPr="00CE70F3">
          <w:rPr>
            <w:rStyle w:val="Hyperlink"/>
            <w:lang w:val="fr-CA"/>
          </w:rPr>
          <w:t xml:space="preserve"> </w:t>
        </w:r>
        <w:r w:rsidR="009640DA" w:rsidRPr="00CE70F3">
          <w:rPr>
            <w:rStyle w:val="Hyperlink"/>
            <w:lang w:val="fr-CA"/>
          </w:rPr>
          <w:t xml:space="preserve">et droit additionnel </w:t>
        </w:r>
        <w:r w:rsidR="00495E32" w:rsidRPr="00FF6018">
          <w:rPr>
            <w:rStyle w:val="Hyperlink"/>
            <w:lang w:val="fr-CA"/>
          </w:rPr>
          <w:t xml:space="preserve">sur le vapotage </w:t>
        </w:r>
        <w:r w:rsidR="009640DA" w:rsidRPr="00CE70F3">
          <w:rPr>
            <w:rStyle w:val="Hyperlink"/>
            <w:lang w:val="fr-CA"/>
          </w:rPr>
          <w:t>non applicable</w:t>
        </w:r>
        <w:r w:rsidR="009640DA" w:rsidRPr="00FF6018">
          <w:rPr>
            <w:rStyle w:val="Heading2Char"/>
          </w:rPr>
          <w:t xml:space="preserve"> </w:t>
        </w:r>
      </w:hyperlink>
      <w:r w:rsidR="009640DA" w:rsidRPr="00FF6018">
        <w:rPr>
          <w:rStyle w:val="Hyperlink"/>
          <w:lang w:val="fr-CA"/>
        </w:rPr>
        <w:t xml:space="preserve"> </w:t>
      </w:r>
    </w:p>
    <w:p w14:paraId="1ABDA6B5" w14:textId="7EFAC530" w:rsidR="009B2B81" w:rsidRPr="00AE6626" w:rsidRDefault="00AE6626" w:rsidP="009640DA">
      <w:pPr>
        <w:pStyle w:val="ListParagraph"/>
        <w:numPr>
          <w:ilvl w:val="1"/>
          <w:numId w:val="1"/>
        </w:numPr>
        <w:rPr>
          <w:rStyle w:val="Hyperlink"/>
          <w:lang w:val="fr-CA"/>
        </w:rPr>
      </w:pPr>
      <w:r>
        <w:rPr>
          <w:lang w:val="fr-CA"/>
        </w:rPr>
        <w:fldChar w:fldCharType="begin"/>
      </w:r>
      <w:r>
        <w:rPr>
          <w:lang w:val="fr-CA"/>
        </w:rPr>
        <w:instrText xml:space="preserve"> HYPERLINK  \l "_Déclaration_en_détail_1" </w:instrText>
      </w:r>
      <w:r>
        <w:rPr>
          <w:lang w:val="fr-CA"/>
        </w:rPr>
        <w:fldChar w:fldCharType="separate"/>
      </w:r>
      <w:r w:rsidR="00167D47" w:rsidRPr="00AE6626">
        <w:rPr>
          <w:rStyle w:val="Hyperlink"/>
          <w:lang w:val="fr-CA"/>
        </w:rPr>
        <w:t xml:space="preserve">Déclaration en détail </w:t>
      </w:r>
      <w:r w:rsidR="001B666A" w:rsidRPr="00AE6626">
        <w:rPr>
          <w:rStyle w:val="Hyperlink"/>
          <w:lang w:val="fr-CA"/>
        </w:rPr>
        <w:t xml:space="preserve">des </w:t>
      </w:r>
      <w:r w:rsidR="009640DA" w:rsidRPr="00CE70F3">
        <w:rPr>
          <w:rStyle w:val="Hyperlink"/>
          <w:lang w:val="fr-CA"/>
        </w:rPr>
        <w:t xml:space="preserve">marchandises commerciales - droit sur le vapotage et droit additionnel </w:t>
      </w:r>
      <w:r w:rsidR="00495E32" w:rsidRPr="00AE6626">
        <w:rPr>
          <w:rStyle w:val="Hyperlink"/>
          <w:lang w:val="fr-CA"/>
        </w:rPr>
        <w:t xml:space="preserve">sur le vapotage </w:t>
      </w:r>
      <w:r w:rsidR="00167D47" w:rsidRPr="00CE70F3">
        <w:rPr>
          <w:rStyle w:val="Hyperlink"/>
          <w:lang w:val="fr-CA"/>
        </w:rPr>
        <w:t>exigible</w:t>
      </w:r>
      <w:r w:rsidR="009640DA" w:rsidRPr="00CE70F3">
        <w:rPr>
          <w:rStyle w:val="Hyperlink"/>
          <w:lang w:val="fr-CA"/>
        </w:rPr>
        <w:t>s</w:t>
      </w:r>
    </w:p>
    <w:p w14:paraId="0850FC99" w14:textId="14E9C423" w:rsidR="00F154CF" w:rsidRPr="00CE70F3" w:rsidRDefault="00AE6626" w:rsidP="00F154CF">
      <w:pPr>
        <w:pStyle w:val="ListParagraph"/>
        <w:numPr>
          <w:ilvl w:val="1"/>
          <w:numId w:val="1"/>
        </w:numPr>
        <w:rPr>
          <w:lang w:val="fr-CA"/>
        </w:rPr>
      </w:pPr>
      <w:r>
        <w:rPr>
          <w:lang w:val="fr-CA"/>
        </w:rPr>
        <w:fldChar w:fldCharType="end"/>
      </w:r>
      <w:hyperlink w:anchor="_Déclaration_en_détail_2" w:history="1">
        <w:r w:rsidR="00F154CF" w:rsidRPr="00CE70F3">
          <w:rPr>
            <w:rStyle w:val="Hyperlink"/>
            <w:lang w:val="fr-CA"/>
          </w:rPr>
          <w:t xml:space="preserve">Déclaration en détail </w:t>
        </w:r>
        <w:r w:rsidR="00F154CF" w:rsidRPr="00F154CF">
          <w:rPr>
            <w:rStyle w:val="Hyperlink"/>
            <w:lang w:val="fr-CA"/>
          </w:rPr>
          <w:t>des</w:t>
        </w:r>
        <w:r w:rsidR="00F154CF" w:rsidRPr="00CE70F3">
          <w:rPr>
            <w:rStyle w:val="Hyperlink"/>
            <w:lang w:val="fr-CA"/>
          </w:rPr>
          <w:t xml:space="preserve"> marchandises commerciales - droit sur le vapotage et droit additionnel </w:t>
        </w:r>
        <w:r w:rsidR="00F154CF" w:rsidRPr="00F154CF">
          <w:rPr>
            <w:rStyle w:val="Hyperlink"/>
            <w:lang w:val="fr-CA"/>
          </w:rPr>
          <w:t>sur le vapotage</w:t>
        </w:r>
        <w:r w:rsidR="00F154CF" w:rsidRPr="00CE70F3">
          <w:rPr>
            <w:rStyle w:val="Hyperlink"/>
            <w:lang w:val="fr-CA"/>
          </w:rPr>
          <w:t xml:space="preserve"> exonérés ou non exigibles</w:t>
        </w:r>
      </w:hyperlink>
    </w:p>
    <w:p w14:paraId="10E80632" w14:textId="27B761DC" w:rsidR="00D63BC4" w:rsidRPr="00F154CF" w:rsidRDefault="00F154CF" w:rsidP="00D63BC4">
      <w:pPr>
        <w:pStyle w:val="ListParagraph"/>
        <w:numPr>
          <w:ilvl w:val="1"/>
          <w:numId w:val="1"/>
        </w:numPr>
        <w:rPr>
          <w:rStyle w:val="Hyperlink"/>
          <w:lang w:val="fr-CA"/>
        </w:rPr>
      </w:pPr>
      <w:r>
        <w:rPr>
          <w:lang w:val="fr-CA"/>
        </w:rPr>
        <w:fldChar w:fldCharType="begin"/>
      </w:r>
      <w:r>
        <w:rPr>
          <w:lang w:val="fr-CA"/>
        </w:rPr>
        <w:instrText xml:space="preserve"> HYPERLINK  \l "_Renseignements_supplémentaires_sur" </w:instrText>
      </w:r>
      <w:r>
        <w:rPr>
          <w:lang w:val="fr-CA"/>
        </w:rPr>
        <w:fldChar w:fldCharType="separate"/>
      </w:r>
      <w:r w:rsidR="00D63BC4" w:rsidRPr="00F154CF">
        <w:rPr>
          <w:rStyle w:val="Hyperlink"/>
          <w:lang w:val="fr-CA"/>
        </w:rPr>
        <w:t>Renseignements supplémentaires sur la déclaration et la déclaration en détail</w:t>
      </w:r>
    </w:p>
    <w:p w14:paraId="5075246F" w14:textId="5B2027FB" w:rsidR="00D63BC4" w:rsidRDefault="00F154CF" w:rsidP="00873669">
      <w:pPr>
        <w:pStyle w:val="ListParagraph"/>
        <w:numPr>
          <w:ilvl w:val="1"/>
          <w:numId w:val="1"/>
        </w:numPr>
        <w:rPr>
          <w:rStyle w:val="Hyperlink"/>
          <w:color w:val="auto"/>
          <w:u w:val="none"/>
          <w:lang w:val="fr-CA"/>
        </w:rPr>
      </w:pPr>
      <w:r>
        <w:rPr>
          <w:lang w:val="fr-CA"/>
        </w:rPr>
        <w:fldChar w:fldCharType="end"/>
      </w:r>
      <w:hyperlink w:anchor="SH29" w:history="1">
        <w:r w:rsidR="00873669" w:rsidRPr="00873669">
          <w:rPr>
            <w:rStyle w:val="Hyperlink"/>
            <w:lang w:val="fr-CA"/>
          </w:rPr>
          <w:t>Restitution et vente des produits de vapotage</w:t>
        </w:r>
      </w:hyperlink>
    </w:p>
    <w:p w14:paraId="478F14C4" w14:textId="763B3651" w:rsidR="005B0F80" w:rsidRDefault="00F154CF" w:rsidP="005B0F80">
      <w:pPr>
        <w:pStyle w:val="ListParagraph"/>
        <w:numPr>
          <w:ilvl w:val="1"/>
          <w:numId w:val="1"/>
        </w:numPr>
        <w:rPr>
          <w:rStyle w:val="Hyperlink"/>
          <w:color w:val="auto"/>
          <w:u w:val="none"/>
          <w:lang w:val="fr-CA"/>
        </w:rPr>
      </w:pPr>
      <w:r w:rsidRPr="00CE70F3">
        <w:rPr>
          <w:lang w:val="fr-CA"/>
        </w:rPr>
        <w:t xml:space="preserve"> </w:t>
      </w:r>
      <w:hyperlink w:anchor="_Déclaration_et_versement" w:history="1">
        <w:r w:rsidRPr="00F154CF">
          <w:rPr>
            <w:rStyle w:val="Hyperlink"/>
            <w:lang w:val="fr-CA"/>
          </w:rPr>
          <w:t>Déclaration et versement du droit sur le vapotage et du droit additionnel sur le vapotage à l’ARC</w:t>
        </w:r>
      </w:hyperlink>
      <w:r w:rsidRPr="00F154CF">
        <w:rPr>
          <w:rStyle w:val="Hyperlink"/>
          <w:lang w:val="fr-CA"/>
        </w:rPr>
        <w:t xml:space="preserve"> </w:t>
      </w:r>
      <w:r>
        <w:rPr>
          <w:rStyle w:val="Hyperlink"/>
          <w:lang w:val="fr-CA"/>
        </w:rPr>
        <w:t xml:space="preserve"> </w:t>
      </w:r>
      <w:hyperlink w:anchor="SH31" w:history="1">
        <w:r w:rsidR="005B0F80" w:rsidRPr="005B0F80">
          <w:rPr>
            <w:rStyle w:val="Hyperlink"/>
            <w:lang w:val="fr-CA"/>
          </w:rPr>
          <w:t>Correction, remboursement, drawback, révision et réexamen</w:t>
        </w:r>
      </w:hyperlink>
    </w:p>
    <w:p w14:paraId="2CB5ACCA" w14:textId="61415DDF" w:rsidR="005B0F80" w:rsidRDefault="00CE70F3" w:rsidP="005B0F80">
      <w:pPr>
        <w:pStyle w:val="ListParagraph"/>
        <w:numPr>
          <w:ilvl w:val="1"/>
          <w:numId w:val="1"/>
        </w:numPr>
        <w:rPr>
          <w:rStyle w:val="Hyperlink"/>
          <w:color w:val="auto"/>
          <w:u w:val="none"/>
          <w:lang w:val="fr-CA"/>
        </w:rPr>
      </w:pPr>
      <w:hyperlink w:anchor="SH32" w:history="1">
        <w:r w:rsidR="005B0F80" w:rsidRPr="005B0F80">
          <w:rPr>
            <w:rStyle w:val="Hyperlink"/>
            <w:lang w:val="fr-CA"/>
          </w:rPr>
          <w:t>Révision</w:t>
        </w:r>
      </w:hyperlink>
    </w:p>
    <w:p w14:paraId="23BB2621" w14:textId="0D7FA3FC" w:rsidR="005B0F80" w:rsidRDefault="00CE70F3" w:rsidP="006A7EE9">
      <w:pPr>
        <w:pStyle w:val="ListParagraph"/>
        <w:numPr>
          <w:ilvl w:val="1"/>
          <w:numId w:val="1"/>
        </w:numPr>
        <w:rPr>
          <w:rStyle w:val="Hyperlink"/>
          <w:color w:val="auto"/>
          <w:u w:val="none"/>
          <w:lang w:val="fr-CA"/>
        </w:rPr>
      </w:pPr>
      <w:hyperlink w:anchor="SH33" w:history="1">
        <w:r w:rsidR="006A7EE9" w:rsidRPr="006A7EE9">
          <w:rPr>
            <w:rStyle w:val="Hyperlink"/>
            <w:lang w:val="fr-CA"/>
          </w:rPr>
          <w:t>Tenue de registres</w:t>
        </w:r>
      </w:hyperlink>
    </w:p>
    <w:p w14:paraId="129C3C7F" w14:textId="4B87453F" w:rsidR="00B976EE" w:rsidRDefault="00CE70F3" w:rsidP="006A7EE9">
      <w:pPr>
        <w:pStyle w:val="ListParagraph"/>
        <w:numPr>
          <w:ilvl w:val="1"/>
          <w:numId w:val="1"/>
        </w:numPr>
        <w:rPr>
          <w:rStyle w:val="Hyperlink"/>
          <w:color w:val="auto"/>
          <w:u w:val="none"/>
          <w:lang w:val="fr-CA"/>
        </w:rPr>
      </w:pPr>
      <w:hyperlink w:anchor="SH34" w:history="1">
        <w:r w:rsidR="006A7EE9" w:rsidRPr="006A7EE9">
          <w:rPr>
            <w:rStyle w:val="Hyperlink"/>
            <w:lang w:val="fr-CA"/>
          </w:rPr>
          <w:t>Administration et application</w:t>
        </w:r>
      </w:hyperlink>
    </w:p>
    <w:p w14:paraId="6F237C9A" w14:textId="1B06B4F5" w:rsidR="008E6971" w:rsidRDefault="00CE70F3" w:rsidP="006A7EE9">
      <w:pPr>
        <w:pStyle w:val="ListParagraph"/>
        <w:numPr>
          <w:ilvl w:val="1"/>
          <w:numId w:val="1"/>
        </w:numPr>
        <w:rPr>
          <w:rStyle w:val="Hyperlink"/>
          <w:color w:val="auto"/>
          <w:u w:val="none"/>
          <w:lang w:val="fr-CA"/>
        </w:rPr>
      </w:pPr>
      <w:hyperlink w:anchor="SH35" w:history="1">
        <w:r w:rsidR="006A7EE9" w:rsidRPr="006A7EE9">
          <w:rPr>
            <w:rStyle w:val="Hyperlink"/>
            <w:lang w:val="fr-CA"/>
          </w:rPr>
          <w:t>Renseignements supplémentaires</w:t>
        </w:r>
      </w:hyperlink>
    </w:p>
    <w:p w14:paraId="23C47A9A" w14:textId="7E09AC6C" w:rsidR="006A7EE9" w:rsidRPr="00CD7F36" w:rsidRDefault="00CD7F36" w:rsidP="006A7EE9">
      <w:pPr>
        <w:pStyle w:val="ListParagraph"/>
        <w:numPr>
          <w:ilvl w:val="0"/>
          <w:numId w:val="1"/>
        </w:numPr>
        <w:rPr>
          <w:rStyle w:val="Hyperlink"/>
          <w:lang w:val="fr-CA"/>
        </w:rPr>
      </w:pPr>
      <w:r>
        <w:rPr>
          <w:lang w:val="fr-CA"/>
        </w:rPr>
        <w:fldChar w:fldCharType="begin"/>
      </w:r>
      <w:r>
        <w:rPr>
          <w:lang w:val="fr-CA"/>
        </w:rPr>
        <w:instrText xml:space="preserve"> HYPERLINK  \l "_Annexe_A_1" </w:instrText>
      </w:r>
      <w:r>
        <w:rPr>
          <w:lang w:val="fr-CA"/>
        </w:rPr>
        <w:fldChar w:fldCharType="separate"/>
      </w:r>
      <w:r w:rsidR="0076330D" w:rsidRPr="00CD7F36">
        <w:rPr>
          <w:rStyle w:val="Hyperlink"/>
          <w:lang w:val="fr-CA"/>
        </w:rPr>
        <w:t>Annexe</w:t>
      </w:r>
      <w:r w:rsidR="008660EB" w:rsidRPr="00CD7F36">
        <w:rPr>
          <w:rStyle w:val="Hyperlink"/>
          <w:lang w:val="fr-CA"/>
        </w:rPr>
        <w:t xml:space="preserve"> A</w:t>
      </w:r>
    </w:p>
    <w:p w14:paraId="7CEE543F" w14:textId="4B8F1841" w:rsidR="008660EB" w:rsidRPr="008660EB" w:rsidRDefault="00CD7F36" w:rsidP="006A7EE9">
      <w:pPr>
        <w:pStyle w:val="ListParagraph"/>
        <w:numPr>
          <w:ilvl w:val="0"/>
          <w:numId w:val="1"/>
        </w:numPr>
        <w:rPr>
          <w:rStyle w:val="Hyperlink"/>
          <w:color w:val="auto"/>
          <w:u w:val="none"/>
          <w:lang w:val="fr-CA"/>
        </w:rPr>
      </w:pPr>
      <w:r>
        <w:rPr>
          <w:lang w:val="fr-CA"/>
        </w:rPr>
        <w:lastRenderedPageBreak/>
        <w:fldChar w:fldCharType="end"/>
      </w:r>
      <w:hyperlink w:anchor="_Annexe_B" w:history="1">
        <w:r w:rsidR="008660EB" w:rsidRPr="008660EB">
          <w:rPr>
            <w:rStyle w:val="Hyperlink"/>
            <w:lang w:val="fr-CA"/>
          </w:rPr>
          <w:t>Annexe B</w:t>
        </w:r>
      </w:hyperlink>
    </w:p>
    <w:p w14:paraId="59B796A3" w14:textId="30E52C9C" w:rsidR="008660EB" w:rsidRPr="00CD7F36" w:rsidRDefault="00CD7F36" w:rsidP="006A7EE9">
      <w:pPr>
        <w:pStyle w:val="ListParagraph"/>
        <w:numPr>
          <w:ilvl w:val="0"/>
          <w:numId w:val="1"/>
        </w:numPr>
        <w:rPr>
          <w:rStyle w:val="Hyperlink"/>
          <w:lang w:val="fr-CA"/>
        </w:rPr>
      </w:pPr>
      <w:r>
        <w:rPr>
          <w:lang w:val="fr-CA"/>
        </w:rPr>
        <w:fldChar w:fldCharType="begin"/>
      </w:r>
      <w:r>
        <w:rPr>
          <w:lang w:val="fr-CA"/>
        </w:rPr>
        <w:instrText xml:space="preserve"> HYPERLINK  \l "_Annexe_C_1" </w:instrText>
      </w:r>
      <w:r>
        <w:rPr>
          <w:lang w:val="fr-CA"/>
        </w:rPr>
        <w:fldChar w:fldCharType="separate"/>
      </w:r>
      <w:r w:rsidR="008660EB" w:rsidRPr="00CD7F36">
        <w:rPr>
          <w:rStyle w:val="Hyperlink"/>
          <w:lang w:val="fr-CA"/>
        </w:rPr>
        <w:t>Annexe C</w:t>
      </w:r>
    </w:p>
    <w:p w14:paraId="0F91DC26" w14:textId="180BCDA5" w:rsidR="00EC3C42" w:rsidRPr="00CD7F36" w:rsidRDefault="00CD7F36" w:rsidP="00034550">
      <w:pPr>
        <w:pStyle w:val="ListParagraph"/>
        <w:numPr>
          <w:ilvl w:val="0"/>
          <w:numId w:val="1"/>
        </w:numPr>
        <w:rPr>
          <w:rStyle w:val="Hyperlink"/>
          <w:lang w:val="fr-CA"/>
        </w:rPr>
      </w:pPr>
      <w:r>
        <w:rPr>
          <w:lang w:val="fr-CA"/>
        </w:rPr>
        <w:fldChar w:fldCharType="end"/>
      </w:r>
      <w:r>
        <w:rPr>
          <w:lang w:val="fr-CA"/>
        </w:rPr>
        <w:fldChar w:fldCharType="begin"/>
      </w:r>
      <w:r>
        <w:rPr>
          <w:lang w:val="fr-CA"/>
        </w:rPr>
        <w:instrText xml:space="preserve"> HYPERLINK  \l "_Références" </w:instrText>
      </w:r>
      <w:r>
        <w:rPr>
          <w:lang w:val="fr-CA"/>
        </w:rPr>
        <w:fldChar w:fldCharType="separate"/>
      </w:r>
      <w:r w:rsidR="00EC3C42" w:rsidRPr="00CD7F36">
        <w:rPr>
          <w:rStyle w:val="Hyperlink"/>
          <w:lang w:val="fr-CA"/>
        </w:rPr>
        <w:t>Références</w:t>
      </w:r>
    </w:p>
    <w:p w14:paraId="45CB48EB" w14:textId="476D2AA3" w:rsidR="00012F9F" w:rsidRPr="00012F9F" w:rsidRDefault="00CD7F36" w:rsidP="00012F9F">
      <w:pPr>
        <w:pStyle w:val="ListParagraph"/>
        <w:numPr>
          <w:ilvl w:val="1"/>
          <w:numId w:val="1"/>
        </w:numPr>
        <w:rPr>
          <w:rStyle w:val="Hyperlink"/>
          <w:color w:val="auto"/>
          <w:u w:val="none"/>
          <w:lang w:val="fr-CA"/>
        </w:rPr>
      </w:pPr>
      <w:r>
        <w:rPr>
          <w:lang w:val="fr-CA"/>
        </w:rPr>
        <w:fldChar w:fldCharType="end"/>
      </w:r>
      <w:hyperlink w:anchor="_Législation_applicable" w:history="1">
        <w:r w:rsidR="00012F9F" w:rsidRPr="00012F9F">
          <w:rPr>
            <w:rStyle w:val="Hyperlink"/>
            <w:lang w:val="fr-CA"/>
          </w:rPr>
          <w:t>Législation applicable</w:t>
        </w:r>
      </w:hyperlink>
      <w:r w:rsidR="00012F9F" w:rsidRPr="00012F9F">
        <w:rPr>
          <w:rStyle w:val="Hyperlink"/>
          <w:color w:val="auto"/>
          <w:u w:val="none"/>
          <w:lang w:val="fr-CA"/>
        </w:rPr>
        <w:t xml:space="preserve"> </w:t>
      </w:r>
    </w:p>
    <w:p w14:paraId="22B93252" w14:textId="767DB3D1" w:rsidR="00012F9F" w:rsidRPr="00012F9F" w:rsidRDefault="00CE70F3" w:rsidP="00012F9F">
      <w:pPr>
        <w:pStyle w:val="ListParagraph"/>
        <w:numPr>
          <w:ilvl w:val="1"/>
          <w:numId w:val="1"/>
        </w:numPr>
        <w:rPr>
          <w:rStyle w:val="Hyperlink"/>
          <w:color w:val="auto"/>
          <w:u w:val="none"/>
          <w:lang w:val="fr-CA"/>
        </w:rPr>
      </w:pPr>
      <w:hyperlink w:anchor="_Mémorandum(s)_précédent(s)" w:history="1">
        <w:r w:rsidR="00012F9F" w:rsidRPr="00012F9F">
          <w:rPr>
            <w:rStyle w:val="Hyperlink"/>
            <w:lang w:val="fr-CA"/>
          </w:rPr>
          <w:t>Mémorandum(s) précédent(s)</w:t>
        </w:r>
      </w:hyperlink>
      <w:r w:rsidR="00012F9F" w:rsidRPr="00012F9F">
        <w:rPr>
          <w:rStyle w:val="Hyperlink"/>
          <w:color w:val="auto"/>
          <w:u w:val="none"/>
          <w:lang w:val="fr-CA"/>
        </w:rPr>
        <w:t xml:space="preserve"> </w:t>
      </w:r>
    </w:p>
    <w:p w14:paraId="25743411" w14:textId="12E1443D" w:rsidR="00012F9F" w:rsidRPr="00295A04" w:rsidRDefault="00CE70F3" w:rsidP="00012F9F">
      <w:pPr>
        <w:pStyle w:val="ListParagraph"/>
        <w:numPr>
          <w:ilvl w:val="1"/>
          <w:numId w:val="1"/>
        </w:numPr>
        <w:rPr>
          <w:rStyle w:val="Hyperlink"/>
          <w:color w:val="auto"/>
          <w:u w:val="none"/>
          <w:lang w:val="fr-CA"/>
        </w:rPr>
      </w:pPr>
      <w:hyperlink w:anchor="_Bureau_de_diffusion" w:history="1">
        <w:r w:rsidR="00012F9F" w:rsidRPr="00012F9F">
          <w:rPr>
            <w:rStyle w:val="Hyperlink"/>
            <w:lang w:val="fr-CA"/>
          </w:rPr>
          <w:t>Bureau de diffusion</w:t>
        </w:r>
      </w:hyperlink>
    </w:p>
    <w:p w14:paraId="5BB66FB7" w14:textId="136FDB90" w:rsidR="00182979" w:rsidRPr="00295A04" w:rsidRDefault="00CE70F3" w:rsidP="00034550">
      <w:pPr>
        <w:pStyle w:val="ListParagraph"/>
        <w:numPr>
          <w:ilvl w:val="0"/>
          <w:numId w:val="1"/>
        </w:numPr>
        <w:rPr>
          <w:lang w:val="fr-CA"/>
        </w:rPr>
      </w:pPr>
      <w:hyperlink w:anchor="_Contact_information" w:history="1">
        <w:r w:rsidR="00182979" w:rsidRPr="00295A04">
          <w:rPr>
            <w:rStyle w:val="Hyperlink"/>
            <w:lang w:val="fr-CA"/>
          </w:rPr>
          <w:t>Co</w:t>
        </w:r>
        <w:r w:rsidR="00234D35" w:rsidRPr="00295A04">
          <w:rPr>
            <w:rStyle w:val="Hyperlink"/>
            <w:lang w:val="fr-CA"/>
          </w:rPr>
          <w:t>mmuniquer avec nous</w:t>
        </w:r>
      </w:hyperlink>
    </w:p>
    <w:p w14:paraId="129B759F" w14:textId="6D80DD29" w:rsidR="00165D75" w:rsidRPr="00295A04" w:rsidRDefault="00CE70F3" w:rsidP="00034550">
      <w:pPr>
        <w:pStyle w:val="ListParagraph"/>
        <w:numPr>
          <w:ilvl w:val="0"/>
          <w:numId w:val="1"/>
        </w:numPr>
        <w:rPr>
          <w:lang w:val="fr-CA"/>
        </w:rPr>
      </w:pPr>
      <w:hyperlink w:anchor="Lienscommexes" w:history="1">
        <w:r w:rsidR="00EC3C42" w:rsidRPr="0076330D">
          <w:rPr>
            <w:rStyle w:val="Hyperlink"/>
            <w:lang w:val="fr-CA"/>
          </w:rPr>
          <w:t>Liens</w:t>
        </w:r>
        <w:r w:rsidR="00223013" w:rsidRPr="0076330D">
          <w:rPr>
            <w:rStyle w:val="Hyperlink"/>
            <w:lang w:val="fr-CA"/>
          </w:rPr>
          <w:t xml:space="preserve"> connexes</w:t>
        </w:r>
        <w:bookmarkStart w:id="1" w:name="_Subheading_use_Heading"/>
        <w:bookmarkStart w:id="2" w:name="_Subheading_[HEADING_2]"/>
        <w:bookmarkEnd w:id="1"/>
        <w:bookmarkEnd w:id="2"/>
      </w:hyperlink>
    </w:p>
    <w:p w14:paraId="5366AD5F" w14:textId="3C9AD03E" w:rsidR="00217377" w:rsidRDefault="00217377" w:rsidP="000A6694">
      <w:pPr>
        <w:pStyle w:val="Heading2"/>
      </w:pPr>
      <w:bookmarkStart w:id="3" w:name="_Mises_à_jour"/>
      <w:bookmarkStart w:id="4" w:name="H01"/>
      <w:bookmarkEnd w:id="3"/>
    </w:p>
    <w:p w14:paraId="60321F3E" w14:textId="491F5E04" w:rsidR="00165D75" w:rsidRPr="00295A04" w:rsidRDefault="00165D75" w:rsidP="000A6694">
      <w:pPr>
        <w:pStyle w:val="Heading2"/>
      </w:pPr>
      <w:r w:rsidRPr="00295A04">
        <w:t xml:space="preserve">Mises à jour </w:t>
      </w:r>
      <w:r w:rsidR="00472E1E" w:rsidRPr="00472E1E">
        <w:t>apportées</w:t>
      </w:r>
      <w:r w:rsidR="00472E1E" w:rsidRPr="00295A04" w:rsidDel="00472E1E">
        <w:t xml:space="preserve"> </w:t>
      </w:r>
      <w:r w:rsidR="00C718BC">
        <w:t xml:space="preserve">à ce mémorandum </w:t>
      </w:r>
      <w:r w:rsidRPr="00295A04">
        <w:t>D</w:t>
      </w:r>
      <w:bookmarkEnd w:id="4"/>
    </w:p>
    <w:p w14:paraId="2AA37B68" w14:textId="5D5F7360" w:rsidR="001316DE" w:rsidRPr="00CE70F3" w:rsidRDefault="006033B2" w:rsidP="00CE70F3">
      <w:pPr>
        <w:rPr>
          <w:b/>
          <w:bCs/>
          <w:highlight w:val="yellow"/>
          <w:lang w:val="fr-CA" w:bidi="en-US"/>
        </w:rPr>
      </w:pPr>
      <w:r w:rsidRPr="006033B2">
        <w:rPr>
          <w:lang w:val="fr-CA" w:eastAsia="en-CA"/>
        </w:rPr>
        <w:t>Le présent mémorandum a été révisé en vue de :</w:t>
      </w:r>
    </w:p>
    <w:p w14:paraId="5FE1782C" w14:textId="2C68FC76" w:rsidR="001316DE" w:rsidRPr="001316DE" w:rsidRDefault="001316DE" w:rsidP="001316DE">
      <w:pPr>
        <w:pStyle w:val="ListParagraph"/>
        <w:numPr>
          <w:ilvl w:val="0"/>
          <w:numId w:val="11"/>
        </w:numPr>
        <w:rPr>
          <w:highlight w:val="yellow"/>
          <w:lang w:val="fr-CA"/>
        </w:rPr>
      </w:pPr>
      <w:r w:rsidRPr="001316DE">
        <w:rPr>
          <w:highlight w:val="yellow"/>
          <w:lang w:val="fr-CA"/>
        </w:rPr>
        <w:t xml:space="preserve">Refléter l’augmentation </w:t>
      </w:r>
      <w:r w:rsidRPr="00FF6018">
        <w:rPr>
          <w:highlight w:val="yellow"/>
          <w:lang w:val="fr-CA"/>
        </w:rPr>
        <w:t>d</w:t>
      </w:r>
      <w:r w:rsidR="001B3214">
        <w:rPr>
          <w:highlight w:val="yellow"/>
          <w:lang w:val="fr-CA"/>
        </w:rPr>
        <w:t>es</w:t>
      </w:r>
      <w:r w:rsidRPr="00FF6018">
        <w:rPr>
          <w:highlight w:val="yellow"/>
          <w:lang w:val="fr-CA"/>
        </w:rPr>
        <w:t xml:space="preserve"> taux de</w:t>
      </w:r>
      <w:r w:rsidR="00FF6018">
        <w:rPr>
          <w:highlight w:val="yellow"/>
          <w:lang w:val="fr-CA"/>
        </w:rPr>
        <w:t>s</w:t>
      </w:r>
      <w:r w:rsidRPr="00FF6018">
        <w:rPr>
          <w:highlight w:val="yellow"/>
          <w:lang w:val="fr-CA"/>
        </w:rPr>
        <w:t xml:space="preserve"> droits</w:t>
      </w:r>
      <w:r w:rsidR="00DF13BA" w:rsidRPr="00FF6018">
        <w:rPr>
          <w:highlight w:val="yellow"/>
          <w:lang w:val="fr-CA"/>
        </w:rPr>
        <w:t xml:space="preserve"> </w:t>
      </w:r>
      <w:r w:rsidR="00966FD0" w:rsidRPr="00CE70F3">
        <w:rPr>
          <w:highlight w:val="yellow"/>
          <w:lang w:val="fr-CA"/>
        </w:rPr>
        <w:t>sur les produits de</w:t>
      </w:r>
      <w:r w:rsidR="001B666A" w:rsidRPr="00FF6018">
        <w:rPr>
          <w:highlight w:val="yellow"/>
          <w:lang w:val="fr-CA"/>
        </w:rPr>
        <w:t xml:space="preserve"> </w:t>
      </w:r>
      <w:r w:rsidRPr="001316DE">
        <w:rPr>
          <w:highlight w:val="yellow"/>
          <w:lang w:val="fr-CA"/>
        </w:rPr>
        <w:t>vapotage</w:t>
      </w:r>
    </w:p>
    <w:p w14:paraId="0A3BFBE2" w14:textId="56B859E7" w:rsidR="00461DCA" w:rsidRPr="00461DCA" w:rsidRDefault="00461DCA" w:rsidP="00461DCA">
      <w:pPr>
        <w:pStyle w:val="ListParagraph"/>
        <w:numPr>
          <w:ilvl w:val="0"/>
          <w:numId w:val="11"/>
        </w:numPr>
        <w:rPr>
          <w:b/>
          <w:bCs/>
          <w:highlight w:val="yellow"/>
          <w:lang w:val="fr-CA"/>
        </w:rPr>
      </w:pPr>
      <w:r w:rsidRPr="00461DCA">
        <w:rPr>
          <w:highlight w:val="yellow"/>
          <w:lang w:val="fr-CA"/>
        </w:rPr>
        <w:t xml:space="preserve">Tenir compte de l'imposition </w:t>
      </w:r>
      <w:r w:rsidRPr="001B666A">
        <w:rPr>
          <w:highlight w:val="yellow"/>
          <w:lang w:val="fr-CA"/>
        </w:rPr>
        <w:t xml:space="preserve">d'un droit additionnel </w:t>
      </w:r>
      <w:r w:rsidR="001D3A57" w:rsidRPr="001B666A">
        <w:rPr>
          <w:highlight w:val="yellow"/>
          <w:lang w:val="fr-CA"/>
        </w:rPr>
        <w:t xml:space="preserve">sur le vapotage </w:t>
      </w:r>
      <w:r w:rsidR="00DF13BA" w:rsidRPr="00CE70F3">
        <w:rPr>
          <w:highlight w:val="yellow"/>
          <w:lang w:val="fr-CA"/>
        </w:rPr>
        <w:t>à l’égard d’une</w:t>
      </w:r>
      <w:r w:rsidRPr="00FF6018">
        <w:rPr>
          <w:highlight w:val="yellow"/>
          <w:lang w:val="fr-CA"/>
        </w:rPr>
        <w:t xml:space="preserve"> province déterminée de </w:t>
      </w:r>
      <w:r w:rsidRPr="00461DCA">
        <w:rPr>
          <w:highlight w:val="yellow"/>
          <w:lang w:val="fr-CA"/>
        </w:rPr>
        <w:t>vapotage (les gouvernements de l'Ontario, du Québec, des Territoir</w:t>
      </w:r>
      <w:r w:rsidR="0004650F">
        <w:rPr>
          <w:highlight w:val="yellow"/>
          <w:lang w:val="fr-CA"/>
        </w:rPr>
        <w:t>es du Nord-Ouest et du Nunavut)</w:t>
      </w:r>
    </w:p>
    <w:p w14:paraId="3A3ABE08" w14:textId="3BDFEC68" w:rsidR="00461DCA" w:rsidRPr="00461DCA" w:rsidRDefault="00461DCA" w:rsidP="00461DCA">
      <w:pPr>
        <w:pStyle w:val="ListParagraph"/>
        <w:numPr>
          <w:ilvl w:val="0"/>
          <w:numId w:val="11"/>
        </w:numPr>
        <w:rPr>
          <w:b/>
          <w:bCs/>
          <w:highlight w:val="yellow"/>
          <w:lang w:val="fr-CA"/>
        </w:rPr>
      </w:pPr>
      <w:r w:rsidRPr="00461DCA">
        <w:rPr>
          <w:highlight w:val="yellow"/>
          <w:lang w:val="fr-CA"/>
        </w:rPr>
        <w:t>Ajouter de</w:t>
      </w:r>
      <w:r w:rsidR="001B666A">
        <w:rPr>
          <w:highlight w:val="yellow"/>
          <w:lang w:val="fr-CA"/>
        </w:rPr>
        <w:t>s</w:t>
      </w:r>
      <w:r w:rsidRPr="00461DCA">
        <w:rPr>
          <w:highlight w:val="yellow"/>
          <w:lang w:val="fr-CA"/>
        </w:rPr>
        <w:t xml:space="preserve"> nouvelles définitions</w:t>
      </w:r>
    </w:p>
    <w:p w14:paraId="7A9903D5" w14:textId="31725632" w:rsidR="00461DCA" w:rsidRPr="00461DCA" w:rsidRDefault="00461DCA" w:rsidP="00461DCA">
      <w:pPr>
        <w:pStyle w:val="ListParagraph"/>
        <w:numPr>
          <w:ilvl w:val="0"/>
          <w:numId w:val="11"/>
        </w:numPr>
        <w:rPr>
          <w:b/>
          <w:bCs/>
          <w:highlight w:val="yellow"/>
          <w:lang w:val="fr-CA"/>
        </w:rPr>
      </w:pPr>
      <w:r w:rsidRPr="00461DCA">
        <w:rPr>
          <w:highlight w:val="yellow"/>
          <w:lang w:val="fr-CA"/>
        </w:rPr>
        <w:t xml:space="preserve">Ajouter une nouvelle section et un exemple 2 : Déclaration en détail </w:t>
      </w:r>
      <w:r w:rsidR="001B666A">
        <w:rPr>
          <w:highlight w:val="yellow"/>
          <w:lang w:val="fr-CA"/>
        </w:rPr>
        <w:t>des</w:t>
      </w:r>
      <w:r w:rsidR="001B666A" w:rsidRPr="00461DCA">
        <w:rPr>
          <w:highlight w:val="yellow"/>
          <w:lang w:val="fr-CA"/>
        </w:rPr>
        <w:t xml:space="preserve"> </w:t>
      </w:r>
      <w:r w:rsidRPr="00461DCA">
        <w:rPr>
          <w:highlight w:val="yellow"/>
          <w:lang w:val="fr-CA"/>
        </w:rPr>
        <w:t>marchandises commerciales – </w:t>
      </w:r>
      <w:r w:rsidRPr="00FF6018">
        <w:rPr>
          <w:highlight w:val="yellow"/>
          <w:lang w:val="fr-CA"/>
        </w:rPr>
        <w:t xml:space="preserve">droit </w:t>
      </w:r>
      <w:r w:rsidR="00D256D2" w:rsidRPr="00FF6018">
        <w:rPr>
          <w:highlight w:val="yellow"/>
          <w:lang w:val="fr-CA"/>
        </w:rPr>
        <w:t>sur le</w:t>
      </w:r>
      <w:r w:rsidRPr="00FF6018">
        <w:rPr>
          <w:highlight w:val="yellow"/>
          <w:lang w:val="fr-CA"/>
        </w:rPr>
        <w:t xml:space="preserve"> vapotage et droit additionnel </w:t>
      </w:r>
      <w:r w:rsidR="00D256D2" w:rsidRPr="00FF6018">
        <w:rPr>
          <w:highlight w:val="yellow"/>
          <w:lang w:val="fr-CA"/>
        </w:rPr>
        <w:t xml:space="preserve">sur le vapotage </w:t>
      </w:r>
      <w:r w:rsidR="00DF13BA" w:rsidRPr="00CE70F3">
        <w:rPr>
          <w:highlight w:val="yellow"/>
          <w:lang w:val="fr-CA"/>
        </w:rPr>
        <w:t>exigibles</w:t>
      </w:r>
    </w:p>
    <w:p w14:paraId="5B34F4CB" w14:textId="4A9F88B9" w:rsidR="00461DCA" w:rsidRPr="00461DCA" w:rsidRDefault="00461DCA" w:rsidP="00461DCA">
      <w:pPr>
        <w:pStyle w:val="ListParagraph"/>
        <w:numPr>
          <w:ilvl w:val="0"/>
          <w:numId w:val="11"/>
        </w:numPr>
        <w:rPr>
          <w:b/>
          <w:bCs/>
          <w:highlight w:val="yellow"/>
          <w:lang w:val="fr-CA"/>
        </w:rPr>
      </w:pPr>
      <w:r w:rsidRPr="00461DCA">
        <w:rPr>
          <w:highlight w:val="yellow"/>
          <w:lang w:val="fr-CA"/>
        </w:rPr>
        <w:t>Ajouter le</w:t>
      </w:r>
      <w:r w:rsidR="0004650F">
        <w:rPr>
          <w:highlight w:val="yellow"/>
          <w:lang w:val="fr-CA"/>
        </w:rPr>
        <w:t xml:space="preserve"> nouvel exemple 3 de l'annexe B</w:t>
      </w:r>
    </w:p>
    <w:p w14:paraId="199FF7AD" w14:textId="5CCA35C6" w:rsidR="00461DCA" w:rsidRPr="00461DCA" w:rsidRDefault="00461DCA" w:rsidP="00461DCA">
      <w:pPr>
        <w:pStyle w:val="ListParagraph"/>
        <w:numPr>
          <w:ilvl w:val="0"/>
          <w:numId w:val="11"/>
        </w:numPr>
        <w:rPr>
          <w:b/>
          <w:bCs/>
          <w:highlight w:val="yellow"/>
          <w:lang w:val="fr-CA"/>
        </w:rPr>
      </w:pPr>
      <w:r w:rsidRPr="00CE70F3">
        <w:rPr>
          <w:highlight w:val="yellow"/>
          <w:lang w:val="fr-CA"/>
        </w:rPr>
        <w:t>Modifier l</w:t>
      </w:r>
      <w:r w:rsidR="00D03868" w:rsidRPr="00CE70F3">
        <w:rPr>
          <w:highlight w:val="yellow"/>
          <w:lang w:val="fr-CA"/>
        </w:rPr>
        <w:t xml:space="preserve">es </w:t>
      </w:r>
      <w:r w:rsidRPr="00CE70F3">
        <w:rPr>
          <w:highlight w:val="yellow"/>
          <w:lang w:val="fr-CA"/>
        </w:rPr>
        <w:t>organigramme</w:t>
      </w:r>
      <w:r w:rsidR="00071D45" w:rsidRPr="00CE70F3">
        <w:rPr>
          <w:highlight w:val="yellow"/>
          <w:lang w:val="fr-CA"/>
        </w:rPr>
        <w:t>s</w:t>
      </w:r>
      <w:r w:rsidRPr="00CE70F3">
        <w:rPr>
          <w:highlight w:val="yellow"/>
          <w:lang w:val="fr-CA"/>
        </w:rPr>
        <w:t xml:space="preserve"> </w:t>
      </w:r>
      <w:r w:rsidRPr="00461DCA">
        <w:rPr>
          <w:highlight w:val="yellow"/>
          <w:lang w:val="fr-CA"/>
        </w:rPr>
        <w:t xml:space="preserve">à l'annexe C </w:t>
      </w:r>
    </w:p>
    <w:p w14:paraId="40052832" w14:textId="77777777" w:rsidR="002134EE" w:rsidRDefault="002134EE" w:rsidP="000A6694">
      <w:pPr>
        <w:pStyle w:val="Heading2"/>
      </w:pPr>
      <w:bookmarkStart w:id="5" w:name="_Another_subheading_use"/>
      <w:bookmarkStart w:id="6" w:name="_Another_subheading_[HEADING"/>
      <w:bookmarkStart w:id="7" w:name="H02"/>
      <w:bookmarkEnd w:id="5"/>
      <w:bookmarkEnd w:id="6"/>
    </w:p>
    <w:p w14:paraId="444B192E" w14:textId="4C2B9BCF" w:rsidR="00BF6306" w:rsidRPr="00295A04" w:rsidRDefault="00BF6306" w:rsidP="000A6694">
      <w:pPr>
        <w:pStyle w:val="Heading2"/>
      </w:pPr>
      <w:r w:rsidRPr="00295A04">
        <w:t>Définitions</w:t>
      </w:r>
      <w:bookmarkEnd w:id="7"/>
      <w:r w:rsidRPr="00295A04">
        <w:t xml:space="preserve"> </w:t>
      </w:r>
    </w:p>
    <w:p w14:paraId="75CBE4FC" w14:textId="37E38D48" w:rsidR="00DE23CC" w:rsidRDefault="00DE23CC" w:rsidP="00DE23CC">
      <w:pPr>
        <w:rPr>
          <w:lang w:val="fr-CA"/>
        </w:rPr>
      </w:pPr>
      <w:bookmarkStart w:id="8" w:name="_Replacing_your_Pleasure"/>
      <w:bookmarkEnd w:id="8"/>
      <w:r w:rsidRPr="00DE23CC">
        <w:rPr>
          <w:lang w:val="fr-CA"/>
        </w:rPr>
        <w:t xml:space="preserve">Les termes suivants sont utilisés dans le présent avis et sont définis dans la </w:t>
      </w:r>
      <w:r w:rsidRPr="00C03B3E">
        <w:rPr>
          <w:i/>
          <w:lang w:val="fr-CA"/>
        </w:rPr>
        <w:t>Loi de 2001 sur l’accise</w:t>
      </w:r>
      <w:r w:rsidRPr="00DE23CC">
        <w:rPr>
          <w:lang w:val="fr-CA"/>
        </w:rPr>
        <w:t xml:space="preserve"> ou dans les règlements connexes</w:t>
      </w:r>
      <w:r w:rsidR="00325203">
        <w:rPr>
          <w:lang w:val="fr-CA"/>
        </w:rPr>
        <w:t>.</w:t>
      </w:r>
    </w:p>
    <w:p w14:paraId="28CAB9BF" w14:textId="29ECDE86" w:rsidR="00D276E3" w:rsidRPr="00DE23CC" w:rsidRDefault="00D276E3" w:rsidP="00CE70F3">
      <w:pPr>
        <w:widowControl w:val="0"/>
        <w:autoSpaceDE w:val="0"/>
        <w:autoSpaceDN w:val="0"/>
        <w:ind w:right="1310"/>
        <w:rPr>
          <w:lang w:val="fr-CA"/>
        </w:rPr>
      </w:pPr>
      <w:r w:rsidRPr="005A115E">
        <w:rPr>
          <w:rFonts w:eastAsia="Times New Roman" w:cs="Arial"/>
          <w:szCs w:val="24"/>
          <w:lang w:val="fr-CA" w:bidi="en-US"/>
        </w:rPr>
        <w:t xml:space="preserve">Pour plus de définitions des termes trouvés dans ce mémorandum, consultez l'article 2 de la </w:t>
      </w:r>
      <w:r w:rsidRPr="005A115E">
        <w:rPr>
          <w:rFonts w:eastAsia="Times New Roman" w:cs="Arial"/>
          <w:i/>
          <w:szCs w:val="24"/>
          <w:lang w:val="fr-CA" w:bidi="en-US"/>
        </w:rPr>
        <w:t>Loi de 2001 sur l'accise</w:t>
      </w:r>
      <w:r w:rsidRPr="005A115E">
        <w:rPr>
          <w:rFonts w:eastAsia="Times New Roman" w:cs="Arial"/>
          <w:szCs w:val="24"/>
          <w:lang w:val="fr-CA" w:bidi="en-US"/>
        </w:rPr>
        <w:t xml:space="preserve"> et le paragraphe 2(1) de la </w:t>
      </w:r>
      <w:r w:rsidRPr="005A115E">
        <w:rPr>
          <w:rFonts w:eastAsia="Times New Roman" w:cs="Arial"/>
          <w:i/>
          <w:szCs w:val="24"/>
          <w:lang w:val="fr-CA" w:bidi="en-US"/>
        </w:rPr>
        <w:t>Loi sur les douanes</w:t>
      </w:r>
      <w:r w:rsidRPr="005A115E">
        <w:rPr>
          <w:rFonts w:eastAsia="Times New Roman" w:cs="Arial"/>
          <w:szCs w:val="24"/>
          <w:lang w:val="fr-CA" w:bidi="en-US"/>
        </w:rPr>
        <w:t xml:space="preserve">, aux liens trouvés dans la section </w:t>
      </w:r>
      <w:hyperlink w:anchor="Lienscommexes" w:history="1">
        <w:r w:rsidRPr="005A115E">
          <w:rPr>
            <w:rStyle w:val="Hyperlink"/>
            <w:lang w:val="fr-CA"/>
          </w:rPr>
          <w:t>Liens connexes</w:t>
        </w:r>
      </w:hyperlink>
      <w:r w:rsidRPr="005A115E">
        <w:rPr>
          <w:rStyle w:val="Hyperlink"/>
          <w:lang w:val="fr-CA"/>
        </w:rPr>
        <w:t xml:space="preserve"> </w:t>
      </w:r>
      <w:r w:rsidRPr="005A115E">
        <w:rPr>
          <w:rFonts w:eastAsia="Times New Roman" w:cs="Arial"/>
          <w:szCs w:val="24"/>
          <w:lang w:val="fr-CA" w:bidi="en-US"/>
        </w:rPr>
        <w:t>de ce mémorandum.</w:t>
      </w:r>
    </w:p>
    <w:p w14:paraId="729DD4E4" w14:textId="77777777" w:rsidR="00314ED2" w:rsidRDefault="00314ED2" w:rsidP="00DE23CC">
      <w:pPr>
        <w:rPr>
          <w:b/>
          <w:lang w:val="fr-CA"/>
        </w:rPr>
      </w:pPr>
      <w:r w:rsidRPr="00314ED2">
        <w:rPr>
          <w:b/>
          <w:lang w:val="fr-CA"/>
        </w:rPr>
        <w:t xml:space="preserve">Caisse </w:t>
      </w:r>
    </w:p>
    <w:p w14:paraId="62D85A77" w14:textId="27B21DBB" w:rsidR="00314ED2" w:rsidRPr="007B40A9" w:rsidRDefault="00314ED2" w:rsidP="00DE23CC">
      <w:pPr>
        <w:rPr>
          <w:lang w:val="fr-CA"/>
        </w:rPr>
      </w:pPr>
      <w:r w:rsidRPr="007B40A9">
        <w:rPr>
          <w:lang w:val="fr-CA"/>
        </w:rPr>
        <w:t>S’entend d’une boîte en carton ondulé dans laquelle sont empaquetés des emballages ou des cartouches renfermant des produits du tabac, ou des emballages renfermant des produits de vapotage, principalement pour en faciliter le transport ou pour les protéger contre les dommages.</w:t>
      </w:r>
    </w:p>
    <w:p w14:paraId="69323C4D" w14:textId="59BA8049" w:rsidR="00DE23CC" w:rsidRPr="00DE23CC" w:rsidRDefault="00DE23CC" w:rsidP="00DE23CC">
      <w:pPr>
        <w:rPr>
          <w:b/>
          <w:lang w:val="fr-CA"/>
        </w:rPr>
      </w:pPr>
      <w:r w:rsidRPr="00DE23CC">
        <w:rPr>
          <w:b/>
          <w:lang w:val="fr-CA"/>
        </w:rPr>
        <w:t xml:space="preserve">Contenant </w:t>
      </w:r>
    </w:p>
    <w:p w14:paraId="24A061D0" w14:textId="48AE7E5B" w:rsidR="00DE23CC" w:rsidRPr="00DE23CC" w:rsidRDefault="00DE23CC" w:rsidP="00DE23CC">
      <w:pPr>
        <w:rPr>
          <w:lang w:val="fr-CA"/>
        </w:rPr>
      </w:pPr>
      <w:r w:rsidRPr="00DE23CC">
        <w:rPr>
          <w:lang w:val="fr-CA"/>
        </w:rPr>
        <w:t>En ce qui concerne un produit de vapotage, enveloppe, paquet, cartouche, boîte, caisse, bouteille, ampoule ou autre contenant le renfermant.</w:t>
      </w:r>
    </w:p>
    <w:p w14:paraId="09147B16" w14:textId="77777777" w:rsidR="00DE23CC" w:rsidRPr="00DE23CC" w:rsidRDefault="00DE23CC" w:rsidP="00DE23CC">
      <w:pPr>
        <w:rPr>
          <w:b/>
          <w:lang w:val="fr-CA"/>
        </w:rPr>
      </w:pPr>
      <w:r w:rsidRPr="00DE23CC">
        <w:rPr>
          <w:b/>
          <w:lang w:val="fr-CA"/>
        </w:rPr>
        <w:t xml:space="preserve">Contenant immédiat </w:t>
      </w:r>
    </w:p>
    <w:p w14:paraId="37D539A3" w14:textId="47404E9B" w:rsidR="00DE23CC" w:rsidRPr="00DE23CC" w:rsidRDefault="00DE23CC" w:rsidP="00DE23CC">
      <w:pPr>
        <w:rPr>
          <w:lang w:val="fr-CA"/>
        </w:rPr>
      </w:pPr>
      <w:r w:rsidRPr="00DE23CC">
        <w:rPr>
          <w:lang w:val="fr-CA"/>
        </w:rPr>
        <w:t>S’entend, relativement à une substance de vapotage, du contenant qui est en contact direct avec la substance de vapotage. La présente définition exclut un dispositif de vapotage.</w:t>
      </w:r>
    </w:p>
    <w:p w14:paraId="53BD6E00" w14:textId="77777777" w:rsidR="00DE23CC" w:rsidRPr="00DE23CC" w:rsidRDefault="00DE23CC" w:rsidP="00DE23CC">
      <w:pPr>
        <w:rPr>
          <w:b/>
          <w:lang w:val="fr-CA"/>
        </w:rPr>
      </w:pPr>
      <w:r w:rsidRPr="00DE23CC">
        <w:rPr>
          <w:b/>
          <w:lang w:val="fr-CA"/>
        </w:rPr>
        <w:t xml:space="preserve">Dispositif de vapotage </w:t>
      </w:r>
    </w:p>
    <w:p w14:paraId="0A10EA39" w14:textId="71C2A83F" w:rsidR="00DE23CC" w:rsidRPr="00DE23CC" w:rsidRDefault="00DE23CC" w:rsidP="00DE23CC">
      <w:pPr>
        <w:rPr>
          <w:lang w:val="fr-CA"/>
        </w:rPr>
      </w:pPr>
      <w:r w:rsidRPr="00DE23CC">
        <w:rPr>
          <w:lang w:val="fr-CA"/>
        </w:rPr>
        <w:t>Bien, sauf un bien visé par règlement, qui est :</w:t>
      </w:r>
    </w:p>
    <w:p w14:paraId="45F6558A" w14:textId="51EFC2BE" w:rsidR="00DE23CC" w:rsidRPr="00DE23CC" w:rsidRDefault="00A02637" w:rsidP="00DE23CC">
      <w:pPr>
        <w:ind w:left="284"/>
        <w:rPr>
          <w:lang w:val="fr-CA"/>
        </w:rPr>
      </w:pPr>
      <w:r>
        <w:rPr>
          <w:lang w:val="fr-CA"/>
        </w:rPr>
        <w:t>a)</w:t>
      </w:r>
      <w:r w:rsidR="00DE23CC">
        <w:rPr>
          <w:lang w:val="fr-CA"/>
        </w:rPr>
        <w:t xml:space="preserve"> </w:t>
      </w:r>
      <w:r w:rsidR="00DE23CC" w:rsidRPr="00DE23CC">
        <w:rPr>
          <w:lang w:val="fr-CA"/>
        </w:rPr>
        <w:t>un dispositif qui produit des émissions sous forme d’aérosol et qui est destiné à être porté à la bouche en v</w:t>
      </w:r>
      <w:r w:rsidR="006F006A">
        <w:rPr>
          <w:lang w:val="fr-CA"/>
        </w:rPr>
        <w:t>ue de l’inhalation de l’aérosol</w:t>
      </w:r>
    </w:p>
    <w:p w14:paraId="163C57E4" w14:textId="32D894CF" w:rsidR="00DE23CC" w:rsidRPr="00DE23CC" w:rsidRDefault="00A02637" w:rsidP="00532BFD">
      <w:pPr>
        <w:ind w:left="284" w:right="-720"/>
        <w:rPr>
          <w:lang w:val="fr-CA"/>
        </w:rPr>
      </w:pPr>
      <w:r>
        <w:rPr>
          <w:lang w:val="fr-CA"/>
        </w:rPr>
        <w:t>b)</w:t>
      </w:r>
      <w:r w:rsidR="00DE23CC">
        <w:rPr>
          <w:lang w:val="fr-CA"/>
        </w:rPr>
        <w:t xml:space="preserve"> </w:t>
      </w:r>
      <w:r w:rsidR="00DE23CC" w:rsidRPr="00DE23CC">
        <w:rPr>
          <w:lang w:val="fr-CA"/>
        </w:rPr>
        <w:t xml:space="preserve">une capsule de vapotage ou une autre pièce pouvant être utilisée avec un dispositif visé à l’alinéa </w:t>
      </w:r>
      <w:r w:rsidR="00314ED2">
        <w:rPr>
          <w:lang w:val="fr-CA"/>
        </w:rPr>
        <w:t>(</w:t>
      </w:r>
      <w:r w:rsidR="006F006A">
        <w:rPr>
          <w:lang w:val="fr-CA"/>
        </w:rPr>
        <w:t>a)</w:t>
      </w:r>
    </w:p>
    <w:p w14:paraId="2404879E" w14:textId="3909D815" w:rsidR="00DE23CC" w:rsidRPr="00DE23CC" w:rsidRDefault="00A02637" w:rsidP="00DE23CC">
      <w:pPr>
        <w:ind w:left="284"/>
        <w:rPr>
          <w:lang w:val="fr-CA"/>
        </w:rPr>
      </w:pPr>
      <w:r>
        <w:rPr>
          <w:lang w:val="fr-CA"/>
        </w:rPr>
        <w:t>c)</w:t>
      </w:r>
      <w:r w:rsidR="00DE23CC">
        <w:rPr>
          <w:lang w:val="fr-CA"/>
        </w:rPr>
        <w:t xml:space="preserve"> </w:t>
      </w:r>
      <w:r w:rsidR="00DE23CC" w:rsidRPr="00DE23CC">
        <w:rPr>
          <w:lang w:val="fr-CA"/>
        </w:rPr>
        <w:t>un bien visé p</w:t>
      </w:r>
      <w:r w:rsidR="006F006A">
        <w:rPr>
          <w:lang w:val="fr-CA"/>
        </w:rPr>
        <w:t>ar règlement</w:t>
      </w:r>
    </w:p>
    <w:p w14:paraId="0622DA7A" w14:textId="77777777" w:rsidR="00DE23CC" w:rsidRPr="00DE23CC" w:rsidRDefault="00DE23CC" w:rsidP="00DE23CC">
      <w:pPr>
        <w:rPr>
          <w:b/>
          <w:lang w:val="fr-CA"/>
        </w:rPr>
      </w:pPr>
      <w:r w:rsidRPr="00DE23CC">
        <w:rPr>
          <w:b/>
          <w:lang w:val="fr-CA"/>
        </w:rPr>
        <w:t xml:space="preserve">Drogue de produit de vapotage </w:t>
      </w:r>
    </w:p>
    <w:p w14:paraId="5CD37E4E" w14:textId="1A902124" w:rsidR="00DE23CC" w:rsidRPr="00DE23CC" w:rsidRDefault="008434BD" w:rsidP="00DE23CC">
      <w:pPr>
        <w:rPr>
          <w:lang w:val="fr-CA"/>
        </w:rPr>
      </w:pPr>
      <w:r>
        <w:rPr>
          <w:lang w:val="fr-CA"/>
        </w:rPr>
        <w:t>S’entend</w:t>
      </w:r>
      <w:r w:rsidR="00C97044">
        <w:rPr>
          <w:lang w:val="fr-CA"/>
        </w:rPr>
        <w:t xml:space="preserve"> </w:t>
      </w:r>
      <w:r w:rsidR="00982DBA">
        <w:rPr>
          <w:lang w:val="fr-CA"/>
        </w:rPr>
        <w:t>d’</w:t>
      </w:r>
      <w:r w:rsidR="00C97044">
        <w:rPr>
          <w:lang w:val="fr-CA"/>
        </w:rPr>
        <w:t>u</w:t>
      </w:r>
      <w:r w:rsidR="00DE23CC" w:rsidRPr="00DE23CC">
        <w:rPr>
          <w:lang w:val="fr-CA"/>
        </w:rPr>
        <w:t>n produit de vapotage, sauf un produit de vapotage visé par règlement, qui est :</w:t>
      </w:r>
    </w:p>
    <w:p w14:paraId="38A1623C" w14:textId="05850210" w:rsidR="00DE23CC" w:rsidRPr="00DE23CC" w:rsidRDefault="00A02637" w:rsidP="00DE23CC">
      <w:pPr>
        <w:ind w:left="284"/>
        <w:rPr>
          <w:lang w:val="fr-CA"/>
        </w:rPr>
      </w:pPr>
      <w:r>
        <w:rPr>
          <w:lang w:val="fr-CA"/>
        </w:rPr>
        <w:t>a)</w:t>
      </w:r>
      <w:r w:rsidR="00DE23CC">
        <w:rPr>
          <w:lang w:val="fr-CA"/>
        </w:rPr>
        <w:t xml:space="preserve"> </w:t>
      </w:r>
      <w:r w:rsidR="00DE23CC" w:rsidRPr="00DE23CC">
        <w:rPr>
          <w:lang w:val="fr-CA"/>
        </w:rPr>
        <w:t xml:space="preserve">une drogue à laquelle une identification numérique a été attribuée en application du </w:t>
      </w:r>
      <w:r w:rsidR="00DE23CC" w:rsidRPr="008B1E58">
        <w:rPr>
          <w:i/>
          <w:lang w:val="fr-CA"/>
        </w:rPr>
        <w:t>Règlement sur les aliments et drogues</w:t>
      </w:r>
    </w:p>
    <w:p w14:paraId="224260DB" w14:textId="323B5AAE" w:rsidR="00DE23CC" w:rsidRPr="00DE23CC" w:rsidRDefault="00A02637" w:rsidP="00DE23CC">
      <w:pPr>
        <w:ind w:left="284"/>
        <w:rPr>
          <w:lang w:val="fr-CA"/>
        </w:rPr>
      </w:pPr>
      <w:r>
        <w:rPr>
          <w:lang w:val="fr-CA"/>
        </w:rPr>
        <w:t>b)</w:t>
      </w:r>
      <w:r w:rsidR="00DE23CC">
        <w:rPr>
          <w:lang w:val="fr-CA"/>
        </w:rPr>
        <w:t xml:space="preserve"> </w:t>
      </w:r>
      <w:r w:rsidR="00DE23CC" w:rsidRPr="00DE23CC">
        <w:rPr>
          <w:lang w:val="fr-CA"/>
        </w:rPr>
        <w:t>un produit</w:t>
      </w:r>
      <w:r w:rsidR="006F006A">
        <w:rPr>
          <w:lang w:val="fr-CA"/>
        </w:rPr>
        <w:t xml:space="preserve"> de vapotage visé par règlement</w:t>
      </w:r>
    </w:p>
    <w:p w14:paraId="59D44087" w14:textId="77777777" w:rsidR="00DE23CC" w:rsidRPr="00DE23CC" w:rsidRDefault="00DE23CC" w:rsidP="00DE23CC">
      <w:pPr>
        <w:rPr>
          <w:b/>
          <w:lang w:val="fr-CA"/>
        </w:rPr>
      </w:pPr>
      <w:r w:rsidRPr="00DE23CC">
        <w:rPr>
          <w:b/>
          <w:lang w:val="fr-CA"/>
        </w:rPr>
        <w:t xml:space="preserve">Droit sur le vapotage </w:t>
      </w:r>
    </w:p>
    <w:p w14:paraId="678A68DB" w14:textId="402D50E7" w:rsidR="00DE23CC" w:rsidRDefault="00DE23CC" w:rsidP="00DE23CC">
      <w:pPr>
        <w:rPr>
          <w:lang w:val="fr-CA"/>
        </w:rPr>
      </w:pPr>
      <w:r w:rsidRPr="00DE23CC">
        <w:rPr>
          <w:lang w:val="fr-CA"/>
        </w:rPr>
        <w:t xml:space="preserve">Droit imposé en vertu de l’article 158.57 de la </w:t>
      </w:r>
      <w:r w:rsidRPr="00C03B3E">
        <w:rPr>
          <w:i/>
          <w:lang w:val="fr-CA"/>
        </w:rPr>
        <w:t>Loi de 2001 sur l’accise</w:t>
      </w:r>
      <w:r w:rsidRPr="00DE23CC">
        <w:rPr>
          <w:lang w:val="fr-CA"/>
        </w:rPr>
        <w:t>.</w:t>
      </w:r>
    </w:p>
    <w:p w14:paraId="14E33DBB" w14:textId="7F218E39" w:rsidR="009E19D5" w:rsidRPr="001B3214" w:rsidRDefault="009E19D5" w:rsidP="009E19D5">
      <w:pPr>
        <w:rPr>
          <w:iCs/>
          <w:highlight w:val="yellow"/>
          <w:lang w:val="fr-CA"/>
        </w:rPr>
      </w:pPr>
      <w:r w:rsidRPr="001B3214">
        <w:rPr>
          <w:b/>
          <w:iCs/>
          <w:highlight w:val="yellow"/>
          <w:lang w:val="fr-CA"/>
        </w:rPr>
        <w:t>Droit additionnel</w:t>
      </w:r>
      <w:r w:rsidR="00232F58" w:rsidRPr="001B3214">
        <w:rPr>
          <w:b/>
          <w:iCs/>
          <w:highlight w:val="yellow"/>
          <w:lang w:val="fr-CA"/>
        </w:rPr>
        <w:t xml:space="preserve"> sur le vapotage</w:t>
      </w:r>
    </w:p>
    <w:p w14:paraId="6CC3D897" w14:textId="77777777" w:rsidR="009E19D5" w:rsidRPr="004416B8" w:rsidRDefault="009E19D5" w:rsidP="003230E2">
      <w:pPr>
        <w:ind w:right="1219"/>
        <w:rPr>
          <w:rFonts w:ascii="Helvetica" w:hAnsi="Helvetica" w:cs="Helvetica"/>
          <w:color w:val="333333"/>
          <w:highlight w:val="yellow"/>
          <w:shd w:val="clear" w:color="auto" w:fill="FFFFFF"/>
          <w:lang w:val="fr-CA"/>
        </w:rPr>
      </w:pPr>
      <w:r w:rsidRPr="000F7A69">
        <w:rPr>
          <w:highlight w:val="yellow"/>
          <w:lang w:val="fr-CA"/>
        </w:rPr>
        <w:t xml:space="preserve">S’entend d’un </w:t>
      </w:r>
      <w:r w:rsidRPr="000F7A69">
        <w:rPr>
          <w:rFonts w:ascii="Helvetica" w:hAnsi="Helvetica" w:cs="Helvetica"/>
          <w:color w:val="333333"/>
          <w:highlight w:val="yellow"/>
          <w:shd w:val="clear" w:color="auto" w:fill="FFFFFF"/>
          <w:lang w:val="fr-CA"/>
        </w:rPr>
        <w:t xml:space="preserve">droit imposé en vertu de l'article 158.58 de la </w:t>
      </w:r>
      <w:r w:rsidRPr="000F7A69">
        <w:rPr>
          <w:rFonts w:ascii="Helvetica" w:hAnsi="Helvetica" w:cs="Helvetica"/>
          <w:i/>
          <w:color w:val="333333"/>
          <w:highlight w:val="yellow"/>
          <w:shd w:val="clear" w:color="auto" w:fill="FFFFFF"/>
          <w:lang w:val="fr-CA"/>
        </w:rPr>
        <w:t>Loi de 2001 sur l'accise</w:t>
      </w:r>
      <w:r w:rsidRPr="000F7A69">
        <w:rPr>
          <w:rFonts w:ascii="Helvetica" w:hAnsi="Helvetica" w:cs="Helvetica"/>
          <w:color w:val="333333"/>
          <w:highlight w:val="yellow"/>
          <w:shd w:val="clear" w:color="auto" w:fill="FFFFFF"/>
          <w:lang w:val="fr-CA"/>
        </w:rPr>
        <w:t xml:space="preserve"> à l'égard d'une province </w:t>
      </w:r>
      <w:r w:rsidRPr="000F7A69">
        <w:rPr>
          <w:highlight w:val="yellow"/>
          <w:lang w:val="fr-CA"/>
        </w:rPr>
        <w:t>déterminée</w:t>
      </w:r>
      <w:r w:rsidRPr="000F7A69">
        <w:rPr>
          <w:rFonts w:ascii="Helvetica" w:hAnsi="Helvetica" w:cs="Helvetica"/>
          <w:color w:val="333333"/>
          <w:highlight w:val="yellow"/>
          <w:shd w:val="clear" w:color="auto" w:fill="FFFFFF"/>
          <w:lang w:val="fr-CA"/>
        </w:rPr>
        <w:t xml:space="preserve"> de vapotage</w:t>
      </w:r>
      <w:r w:rsidRPr="004416B8">
        <w:rPr>
          <w:rFonts w:ascii="Helvetica" w:hAnsi="Helvetica" w:cs="Helvetica"/>
          <w:color w:val="333333"/>
          <w:highlight w:val="yellow"/>
          <w:shd w:val="clear" w:color="auto" w:fill="FFFFFF"/>
          <w:lang w:val="fr-CA"/>
        </w:rPr>
        <w:t>.</w:t>
      </w:r>
    </w:p>
    <w:p w14:paraId="1F7648F9" w14:textId="77777777" w:rsidR="00C97044" w:rsidRDefault="00C97044" w:rsidP="00DE23CC">
      <w:pPr>
        <w:rPr>
          <w:b/>
          <w:lang w:val="fr-CA"/>
        </w:rPr>
      </w:pPr>
      <w:r w:rsidRPr="00C97044">
        <w:rPr>
          <w:b/>
          <w:lang w:val="fr-CA"/>
        </w:rPr>
        <w:lastRenderedPageBreak/>
        <w:t xml:space="preserve">Emballage réglementaire </w:t>
      </w:r>
    </w:p>
    <w:p w14:paraId="32DAF989" w14:textId="2C29CF94" w:rsidR="00C97044" w:rsidRPr="007B40A9" w:rsidRDefault="00C97044" w:rsidP="00DE23CC">
      <w:pPr>
        <w:rPr>
          <w:lang w:val="fr-CA"/>
        </w:rPr>
      </w:pPr>
      <w:r w:rsidRPr="007B40A9">
        <w:rPr>
          <w:lang w:val="fr-CA"/>
        </w:rPr>
        <w:t>Signifie, dans le cas d’un produit de vapotage, le plus petit emballage dans lequel il est normalement offert en vente au public, y compris l’enveloppe extérieure, l’emballage, la boîte ou autre contenant, dans lequel il est vendu au consommateur.</w:t>
      </w:r>
    </w:p>
    <w:p w14:paraId="5D6F8CF9" w14:textId="2265B4EF" w:rsidR="00DE23CC" w:rsidRPr="00DE23CC" w:rsidRDefault="00DE23CC" w:rsidP="00DE23CC">
      <w:pPr>
        <w:rPr>
          <w:b/>
          <w:lang w:val="fr-CA"/>
        </w:rPr>
      </w:pPr>
      <w:r w:rsidRPr="00DE23CC">
        <w:rPr>
          <w:b/>
          <w:lang w:val="fr-CA"/>
        </w:rPr>
        <w:t xml:space="preserve">Emballé </w:t>
      </w:r>
    </w:p>
    <w:p w14:paraId="43E57559" w14:textId="7705168B" w:rsidR="00DE23CC" w:rsidRPr="00DE23CC" w:rsidRDefault="00132010" w:rsidP="00DE23CC">
      <w:pPr>
        <w:rPr>
          <w:lang w:val="fr-CA"/>
        </w:rPr>
      </w:pPr>
      <w:r>
        <w:rPr>
          <w:lang w:val="fr-CA"/>
        </w:rPr>
        <w:t>S’entend</w:t>
      </w:r>
      <w:r w:rsidRPr="00DE23CC">
        <w:rPr>
          <w:lang w:val="fr-CA"/>
        </w:rPr>
        <w:t xml:space="preserve"> </w:t>
      </w:r>
      <w:r w:rsidR="00DE23CC" w:rsidRPr="00DE23CC">
        <w:rPr>
          <w:lang w:val="fr-CA"/>
        </w:rPr>
        <w:t>du tabac en feuilles, des produits du tabac, des produits du cannabis ou des produits de vapotage qui sont présentés dans un emballage réglementaire.</w:t>
      </w:r>
    </w:p>
    <w:p w14:paraId="1DDF70D9" w14:textId="77777777" w:rsidR="00DE23CC" w:rsidRPr="00DE23CC" w:rsidRDefault="00DE23CC" w:rsidP="00DE23CC">
      <w:pPr>
        <w:rPr>
          <w:b/>
          <w:lang w:val="fr-CA"/>
        </w:rPr>
      </w:pPr>
      <w:r w:rsidRPr="00DE23CC">
        <w:rPr>
          <w:b/>
          <w:lang w:val="fr-CA"/>
        </w:rPr>
        <w:t xml:space="preserve">Estampillé </w:t>
      </w:r>
    </w:p>
    <w:p w14:paraId="54D39E5D" w14:textId="29BDC3CA" w:rsidR="00DE23CC" w:rsidRPr="00DE23CC" w:rsidRDefault="00132010" w:rsidP="00DE23CC">
      <w:pPr>
        <w:rPr>
          <w:lang w:val="fr-CA"/>
        </w:rPr>
      </w:pPr>
      <w:r>
        <w:rPr>
          <w:lang w:val="fr-CA"/>
        </w:rPr>
        <w:t>S’entend</w:t>
      </w:r>
      <w:r w:rsidR="00DE23CC" w:rsidRPr="00DE23CC">
        <w:rPr>
          <w:lang w:val="fr-CA"/>
        </w:rPr>
        <w:t xml:space="preserve"> d’un produit de vapotage, ou de son contenant, sur lequel un timbre d’accise de vapotage ainsi que les mentions prévues par règlement et de présentation réglementaire relativement au produit de vapotage sont apposés, empreints, imprimés, marqués ou poinçonnés selon les modalités réglementaires pour indiquer que les droits afférents ont été acquittés.</w:t>
      </w:r>
    </w:p>
    <w:p w14:paraId="72E747AC" w14:textId="77777777" w:rsidR="00314ED2" w:rsidRPr="00314ED2" w:rsidRDefault="00DE23CC" w:rsidP="00DE23CC">
      <w:pPr>
        <w:rPr>
          <w:b/>
          <w:lang w:val="fr-CA"/>
        </w:rPr>
      </w:pPr>
      <w:r w:rsidRPr="00314ED2">
        <w:rPr>
          <w:b/>
          <w:lang w:val="fr-CA"/>
        </w:rPr>
        <w:t xml:space="preserve">Fabrication </w:t>
      </w:r>
    </w:p>
    <w:p w14:paraId="556F371E" w14:textId="1F96AFE9" w:rsidR="00DE23CC" w:rsidRPr="00DE23CC" w:rsidRDefault="00DE23CC" w:rsidP="00DE23CC">
      <w:pPr>
        <w:rPr>
          <w:lang w:val="fr-CA"/>
        </w:rPr>
      </w:pPr>
      <w:r w:rsidRPr="00DE23CC">
        <w:rPr>
          <w:lang w:val="fr-CA"/>
        </w:rPr>
        <w:t>Comprend toute étape de la production d’un produit de vapotage, notamment insérer une substance de vapotage dans un dispositif de vapotage et l’emballage du produit de vapotage.</w:t>
      </w:r>
    </w:p>
    <w:p w14:paraId="26898261" w14:textId="77777777" w:rsidR="00314ED2" w:rsidRPr="00314ED2" w:rsidRDefault="00DE23CC" w:rsidP="00DE23CC">
      <w:pPr>
        <w:rPr>
          <w:b/>
          <w:lang w:val="fr-CA"/>
        </w:rPr>
      </w:pPr>
      <w:r w:rsidRPr="00314ED2">
        <w:rPr>
          <w:b/>
          <w:lang w:val="fr-CA"/>
        </w:rPr>
        <w:t xml:space="preserve">Mention obligatoire pour vapotage </w:t>
      </w:r>
    </w:p>
    <w:p w14:paraId="26A251DE" w14:textId="10238395" w:rsidR="00DE23CC" w:rsidRPr="00DE23CC" w:rsidRDefault="00DE23CC" w:rsidP="00DE23CC">
      <w:pPr>
        <w:rPr>
          <w:lang w:val="fr-CA"/>
        </w:rPr>
      </w:pPr>
      <w:r w:rsidRPr="00DE23CC">
        <w:rPr>
          <w:lang w:val="fr-CA"/>
        </w:rPr>
        <w:t xml:space="preserve">Mention réglementaire que doit porter, en application de la présente </w:t>
      </w:r>
      <w:r w:rsidR="005F7C21" w:rsidRPr="00F0415F">
        <w:rPr>
          <w:i/>
          <w:lang w:val="fr-CA"/>
        </w:rPr>
        <w:t>L</w:t>
      </w:r>
      <w:r w:rsidRPr="00F0415F">
        <w:rPr>
          <w:i/>
          <w:lang w:val="fr-CA"/>
        </w:rPr>
        <w:t>oi</w:t>
      </w:r>
      <w:r w:rsidRPr="00DE23CC">
        <w:rPr>
          <w:lang w:val="fr-CA"/>
        </w:rPr>
        <w:t xml:space="preserve">, un contenant de produits de vapotage qui n’ont pas à être estampillés en vertu de la </w:t>
      </w:r>
      <w:r w:rsidRPr="00C03B3E">
        <w:rPr>
          <w:i/>
          <w:lang w:val="fr-CA"/>
        </w:rPr>
        <w:t>Loi de 2001 sur l’accise</w:t>
      </w:r>
      <w:r w:rsidRPr="00DE23CC">
        <w:rPr>
          <w:lang w:val="fr-CA"/>
        </w:rPr>
        <w:t>.</w:t>
      </w:r>
    </w:p>
    <w:p w14:paraId="489A85F7" w14:textId="77777777" w:rsidR="00314ED2" w:rsidRPr="00314ED2" w:rsidRDefault="00DE23CC" w:rsidP="00DE23CC">
      <w:pPr>
        <w:rPr>
          <w:b/>
          <w:lang w:val="fr-CA"/>
        </w:rPr>
      </w:pPr>
      <w:r w:rsidRPr="00314ED2">
        <w:rPr>
          <w:b/>
          <w:lang w:val="fr-CA"/>
        </w:rPr>
        <w:t xml:space="preserve">Personne </w:t>
      </w:r>
    </w:p>
    <w:p w14:paraId="3C2B6E91" w14:textId="045B961D" w:rsidR="00DE23CC" w:rsidRPr="00DE23CC" w:rsidRDefault="00DE23CC" w:rsidP="00DE23CC">
      <w:pPr>
        <w:rPr>
          <w:lang w:val="fr-CA"/>
        </w:rPr>
      </w:pPr>
      <w:r w:rsidRPr="00DE23CC">
        <w:rPr>
          <w:lang w:val="fr-CA"/>
        </w:rPr>
        <w:t>Particulier, société de personnes, personne morale, fiducie, gouvernement ou succession, ainsi que l’organisme qui est un syndicat, un club, une association, une commission ou autre organisation.</w:t>
      </w:r>
    </w:p>
    <w:p w14:paraId="693D7E00" w14:textId="77777777" w:rsidR="00DE23CC" w:rsidRPr="00D665D5" w:rsidRDefault="00DE23CC" w:rsidP="00DE23CC">
      <w:pPr>
        <w:rPr>
          <w:b/>
          <w:lang w:val="fr-CA"/>
        </w:rPr>
      </w:pPr>
      <w:r w:rsidRPr="00D665D5">
        <w:rPr>
          <w:b/>
          <w:lang w:val="fr-CA"/>
        </w:rPr>
        <w:t>Produit de vapotage</w:t>
      </w:r>
    </w:p>
    <w:p w14:paraId="7717B138" w14:textId="237D51DE" w:rsidR="00DE23CC" w:rsidRPr="00DE23CC" w:rsidRDefault="00305B97" w:rsidP="00314ED2">
      <w:pPr>
        <w:ind w:left="284"/>
        <w:rPr>
          <w:lang w:val="fr-CA"/>
        </w:rPr>
      </w:pPr>
      <w:r>
        <w:rPr>
          <w:lang w:val="fr-CA"/>
        </w:rPr>
        <w:t>a)</w:t>
      </w:r>
      <w:r w:rsidR="00314ED2">
        <w:rPr>
          <w:lang w:val="fr-CA"/>
        </w:rPr>
        <w:t xml:space="preserve"> </w:t>
      </w:r>
      <w:r w:rsidR="00DE23CC" w:rsidRPr="00DE23CC">
        <w:rPr>
          <w:lang w:val="fr-CA"/>
        </w:rPr>
        <w:t>Une substance de vapotage qui n’est pas contenue</w:t>
      </w:r>
      <w:r w:rsidR="000214D2">
        <w:rPr>
          <w:lang w:val="fr-CA"/>
        </w:rPr>
        <w:t xml:space="preserve"> dans un dispositif de vapotage</w:t>
      </w:r>
    </w:p>
    <w:p w14:paraId="62F6AEC6" w14:textId="2069FB6B" w:rsidR="00DE23CC" w:rsidRPr="00DE23CC" w:rsidRDefault="00305B97" w:rsidP="00314ED2">
      <w:pPr>
        <w:ind w:left="284"/>
        <w:rPr>
          <w:lang w:val="fr-CA"/>
        </w:rPr>
      </w:pPr>
      <w:r>
        <w:rPr>
          <w:lang w:val="fr-CA"/>
        </w:rPr>
        <w:t>b)</w:t>
      </w:r>
      <w:r w:rsidR="00314ED2">
        <w:rPr>
          <w:lang w:val="fr-CA"/>
        </w:rPr>
        <w:t xml:space="preserve"> </w:t>
      </w:r>
      <w:r w:rsidR="00DE23CC" w:rsidRPr="00DE23CC">
        <w:rPr>
          <w:lang w:val="fr-CA"/>
        </w:rPr>
        <w:t>un dispositif de vapotage qui con</w:t>
      </w:r>
      <w:r w:rsidR="000214D2">
        <w:rPr>
          <w:lang w:val="fr-CA"/>
        </w:rPr>
        <w:t>tient une substance de vapotage</w:t>
      </w:r>
    </w:p>
    <w:p w14:paraId="2C9BBE78" w14:textId="30C2EB18" w:rsidR="00DE23CC" w:rsidRDefault="00DE23CC" w:rsidP="00314ED2">
      <w:pPr>
        <w:ind w:left="284"/>
        <w:rPr>
          <w:lang w:val="fr-CA"/>
        </w:rPr>
      </w:pPr>
      <w:r w:rsidRPr="00DE23CC">
        <w:rPr>
          <w:lang w:val="fr-CA"/>
        </w:rPr>
        <w:t>La présente définition exclut un produit du cannabis et un produit du tabac.</w:t>
      </w:r>
    </w:p>
    <w:p w14:paraId="777C0459" w14:textId="2AF89BA3" w:rsidR="007D3724" w:rsidRPr="00B74DE1" w:rsidRDefault="007D3724" w:rsidP="007D3724">
      <w:pPr>
        <w:rPr>
          <w:b/>
          <w:color w:val="333333"/>
          <w:highlight w:val="yellow"/>
          <w:lang w:val="fr-CA"/>
        </w:rPr>
      </w:pPr>
      <w:r w:rsidRPr="00B74DE1">
        <w:rPr>
          <w:b/>
          <w:color w:val="333333"/>
          <w:highlight w:val="yellow"/>
          <w:lang w:val="fr-CA"/>
        </w:rPr>
        <w:t xml:space="preserve">Provinces </w:t>
      </w:r>
      <w:r w:rsidR="00D2589D">
        <w:rPr>
          <w:b/>
          <w:color w:val="333333"/>
          <w:highlight w:val="yellow"/>
          <w:lang w:val="fr-CA"/>
        </w:rPr>
        <w:t xml:space="preserve">déterminées de </w:t>
      </w:r>
      <w:r w:rsidRPr="001B3214">
        <w:rPr>
          <w:b/>
          <w:color w:val="333333"/>
          <w:highlight w:val="yellow"/>
          <w:lang w:val="fr-CA"/>
        </w:rPr>
        <w:t>vapotage</w:t>
      </w:r>
    </w:p>
    <w:p w14:paraId="6BBFD147" w14:textId="77777777" w:rsidR="007D3724" w:rsidRPr="00D67439" w:rsidRDefault="007D3724" w:rsidP="007D3724">
      <w:pPr>
        <w:rPr>
          <w:color w:val="333333"/>
          <w:highlight w:val="yellow"/>
          <w:lang w:val="fr-CA"/>
        </w:rPr>
      </w:pPr>
      <w:r w:rsidRPr="00D67439">
        <w:rPr>
          <w:color w:val="333333"/>
          <w:highlight w:val="yellow"/>
          <w:lang w:val="fr-CA"/>
        </w:rPr>
        <w:t xml:space="preserve">Les provinces suivantes sont </w:t>
      </w:r>
      <w:r w:rsidRPr="00350963">
        <w:rPr>
          <w:color w:val="333333"/>
          <w:highlight w:val="yellow"/>
          <w:lang w:val="fr-CA"/>
        </w:rPr>
        <w:t>visées</w:t>
      </w:r>
      <w:r w:rsidRPr="00D67439">
        <w:rPr>
          <w:color w:val="333333"/>
          <w:highlight w:val="yellow"/>
          <w:lang w:val="fr-CA"/>
        </w:rPr>
        <w:t xml:space="preserve"> :</w:t>
      </w:r>
    </w:p>
    <w:p w14:paraId="38CC6FE1" w14:textId="367EAC98" w:rsidR="007D3724" w:rsidRPr="00B74DE1" w:rsidRDefault="00F34A54" w:rsidP="00CE70F3">
      <w:pPr>
        <w:ind w:left="142"/>
        <w:rPr>
          <w:color w:val="333333"/>
          <w:highlight w:val="yellow"/>
          <w:lang w:val="fr-CA"/>
        </w:rPr>
      </w:pPr>
      <w:r>
        <w:rPr>
          <w:color w:val="333333"/>
          <w:highlight w:val="yellow"/>
          <w:lang w:val="fr-CA"/>
        </w:rPr>
        <w:t>(a) l'Ontario</w:t>
      </w:r>
    </w:p>
    <w:p w14:paraId="15ECD18C" w14:textId="60217F1B" w:rsidR="007D3724" w:rsidRPr="00B74DE1" w:rsidRDefault="00F34A54" w:rsidP="00CE70F3">
      <w:pPr>
        <w:ind w:left="142"/>
        <w:rPr>
          <w:color w:val="333333"/>
          <w:highlight w:val="yellow"/>
          <w:lang w:val="fr-CA"/>
        </w:rPr>
      </w:pPr>
      <w:r>
        <w:rPr>
          <w:color w:val="333333"/>
          <w:highlight w:val="yellow"/>
          <w:lang w:val="fr-CA"/>
        </w:rPr>
        <w:t>(b) le Québec</w:t>
      </w:r>
    </w:p>
    <w:p w14:paraId="392FB449" w14:textId="6C6CEAE6" w:rsidR="007D3724" w:rsidRPr="00B74DE1" w:rsidRDefault="007D3724" w:rsidP="00CE70F3">
      <w:pPr>
        <w:ind w:left="142"/>
        <w:rPr>
          <w:color w:val="333333"/>
          <w:highlight w:val="yellow"/>
          <w:lang w:val="fr-CA"/>
        </w:rPr>
      </w:pPr>
      <w:r w:rsidRPr="00B74DE1">
        <w:rPr>
          <w:color w:val="333333"/>
          <w:highlight w:val="yellow"/>
          <w:lang w:val="fr-CA"/>
        </w:rPr>
        <w:t>c</w:t>
      </w:r>
      <w:r w:rsidR="00F34A54">
        <w:rPr>
          <w:color w:val="333333"/>
          <w:highlight w:val="yellow"/>
          <w:lang w:val="fr-CA"/>
        </w:rPr>
        <w:t>) les Territoires du Nord-Ouest</w:t>
      </w:r>
      <w:r w:rsidRPr="00B74DE1">
        <w:rPr>
          <w:color w:val="333333"/>
          <w:highlight w:val="yellow"/>
          <w:lang w:val="fr-CA"/>
        </w:rPr>
        <w:t xml:space="preserve"> et</w:t>
      </w:r>
    </w:p>
    <w:p w14:paraId="762438D8" w14:textId="33D3FFF6" w:rsidR="007D3724" w:rsidRPr="006F006A" w:rsidRDefault="00145CC2" w:rsidP="00CE70F3">
      <w:pPr>
        <w:ind w:left="142"/>
        <w:rPr>
          <w:color w:val="333333"/>
          <w:highlight w:val="yellow"/>
          <w:lang w:val="fr-CA"/>
        </w:rPr>
      </w:pPr>
      <w:r>
        <w:rPr>
          <w:color w:val="333333"/>
          <w:highlight w:val="yellow"/>
          <w:lang w:val="fr-CA"/>
        </w:rPr>
        <w:t>d) le Nunavut</w:t>
      </w:r>
    </w:p>
    <w:p w14:paraId="6E0D2DD1" w14:textId="77777777" w:rsidR="00314ED2" w:rsidRPr="00314ED2" w:rsidRDefault="00DE23CC" w:rsidP="00DE23CC">
      <w:pPr>
        <w:rPr>
          <w:b/>
          <w:lang w:val="fr-CA"/>
        </w:rPr>
      </w:pPr>
      <w:r w:rsidRPr="00314ED2">
        <w:rPr>
          <w:b/>
          <w:lang w:val="fr-CA"/>
        </w:rPr>
        <w:t xml:space="preserve">Représentant accrédité </w:t>
      </w:r>
    </w:p>
    <w:p w14:paraId="489D4F9D" w14:textId="3E25D7F2" w:rsidR="00DE23CC" w:rsidRPr="00DE23CC" w:rsidRDefault="00DE23CC" w:rsidP="00DE23CC">
      <w:pPr>
        <w:rPr>
          <w:lang w:val="fr-CA"/>
        </w:rPr>
      </w:pPr>
      <w:r w:rsidRPr="00DE23CC">
        <w:rPr>
          <w:lang w:val="fr-CA"/>
        </w:rPr>
        <w:t xml:space="preserve">Personne qui a droit, en vertu de la </w:t>
      </w:r>
      <w:r w:rsidRPr="00874893">
        <w:rPr>
          <w:i/>
          <w:lang w:val="fr-CA"/>
        </w:rPr>
        <w:t>Loi sur les missions étrangères et les organisations internationales</w:t>
      </w:r>
      <w:r w:rsidRPr="00DE23CC">
        <w:rPr>
          <w:lang w:val="fr-CA"/>
        </w:rPr>
        <w:t xml:space="preserve">, aux exemptions d’impôts et de taxes précisées à l’article 34 de la convention figurant à l’annexe I de cette </w:t>
      </w:r>
      <w:r w:rsidR="00843CFE" w:rsidRPr="00F0415F">
        <w:rPr>
          <w:i/>
          <w:lang w:val="fr-CA"/>
        </w:rPr>
        <w:t>L</w:t>
      </w:r>
      <w:r w:rsidRPr="00F0415F">
        <w:rPr>
          <w:i/>
          <w:lang w:val="fr-CA"/>
        </w:rPr>
        <w:t>oi</w:t>
      </w:r>
      <w:r w:rsidRPr="00DE23CC">
        <w:rPr>
          <w:lang w:val="fr-CA"/>
        </w:rPr>
        <w:t xml:space="preserve"> ou à l’article 49 de la convention figurant à l’annexe II de cette </w:t>
      </w:r>
      <w:r w:rsidR="00843CFE" w:rsidRPr="00F0415F">
        <w:rPr>
          <w:i/>
          <w:lang w:val="fr-CA"/>
        </w:rPr>
        <w:t>L</w:t>
      </w:r>
      <w:r w:rsidRPr="00F0415F">
        <w:rPr>
          <w:i/>
          <w:lang w:val="fr-CA"/>
        </w:rPr>
        <w:t>oi</w:t>
      </w:r>
      <w:r w:rsidRPr="00DE23CC">
        <w:rPr>
          <w:lang w:val="fr-CA"/>
        </w:rPr>
        <w:t>.</w:t>
      </w:r>
    </w:p>
    <w:p w14:paraId="40EC4523" w14:textId="77777777" w:rsidR="00314ED2" w:rsidRPr="00314ED2" w:rsidRDefault="00DE23CC" w:rsidP="00DE23CC">
      <w:pPr>
        <w:rPr>
          <w:b/>
          <w:lang w:val="fr-CA"/>
        </w:rPr>
      </w:pPr>
      <w:r w:rsidRPr="00314ED2">
        <w:rPr>
          <w:b/>
          <w:lang w:val="fr-CA"/>
        </w:rPr>
        <w:t xml:space="preserve">Substance de vapotage </w:t>
      </w:r>
    </w:p>
    <w:p w14:paraId="560415D2" w14:textId="0AA39733" w:rsidR="00DE23CC" w:rsidRPr="00DE23CC" w:rsidRDefault="00DE23CC" w:rsidP="00DE23CC">
      <w:pPr>
        <w:rPr>
          <w:lang w:val="fr-CA"/>
        </w:rPr>
      </w:pPr>
      <w:r w:rsidRPr="00DE23CC">
        <w:rPr>
          <w:lang w:val="fr-CA"/>
        </w:rPr>
        <w:t>S’entend :</w:t>
      </w:r>
    </w:p>
    <w:p w14:paraId="75C606AE" w14:textId="7E10DC33" w:rsidR="00DE23CC" w:rsidRPr="00DE23CC" w:rsidRDefault="00305B97" w:rsidP="00314ED2">
      <w:pPr>
        <w:ind w:left="284"/>
        <w:rPr>
          <w:lang w:val="fr-CA"/>
        </w:rPr>
      </w:pPr>
      <w:r>
        <w:rPr>
          <w:lang w:val="fr-CA"/>
        </w:rPr>
        <w:t>a)</w:t>
      </w:r>
      <w:r w:rsidR="00314ED2">
        <w:rPr>
          <w:lang w:val="fr-CA"/>
        </w:rPr>
        <w:t xml:space="preserve"> </w:t>
      </w:r>
      <w:r w:rsidR="00DE23CC" w:rsidRPr="00DE23CC">
        <w:rPr>
          <w:lang w:val="fr-CA"/>
        </w:rPr>
        <w:t>de la substance ou du mélange de substances — contenant ou non de la nicotine — destiné à être utilisé avec un dispositif de vapotage pour produire des</w:t>
      </w:r>
      <w:r w:rsidR="00A242D4">
        <w:rPr>
          <w:lang w:val="fr-CA"/>
        </w:rPr>
        <w:t xml:space="preserve"> émissions sous forme d’aérosol</w:t>
      </w:r>
    </w:p>
    <w:p w14:paraId="48FB48E8" w14:textId="14138E5D" w:rsidR="00DE23CC" w:rsidRPr="00DE23CC" w:rsidRDefault="00305B97" w:rsidP="00314ED2">
      <w:pPr>
        <w:ind w:left="284"/>
        <w:rPr>
          <w:lang w:val="fr-CA"/>
        </w:rPr>
      </w:pPr>
      <w:r>
        <w:rPr>
          <w:lang w:val="fr-CA"/>
        </w:rPr>
        <w:t>b)</w:t>
      </w:r>
      <w:r w:rsidR="00314ED2">
        <w:rPr>
          <w:lang w:val="fr-CA"/>
        </w:rPr>
        <w:t xml:space="preserve"> </w:t>
      </w:r>
      <w:r w:rsidR="00DE23CC" w:rsidRPr="00DE23CC">
        <w:rPr>
          <w:lang w:val="fr-CA"/>
        </w:rPr>
        <w:t>d’une matiè</w:t>
      </w:r>
      <w:r w:rsidR="00A242D4">
        <w:rPr>
          <w:lang w:val="fr-CA"/>
        </w:rPr>
        <w:t>re ou chose visée par règlement</w:t>
      </w:r>
    </w:p>
    <w:p w14:paraId="6B28C452" w14:textId="77777777" w:rsidR="00DE23CC" w:rsidRPr="00DE23CC" w:rsidRDefault="00DE23CC" w:rsidP="00314ED2">
      <w:pPr>
        <w:ind w:left="284"/>
        <w:rPr>
          <w:lang w:val="fr-CA"/>
        </w:rPr>
      </w:pPr>
      <w:r w:rsidRPr="00DE23CC">
        <w:rPr>
          <w:lang w:val="fr-CA"/>
        </w:rPr>
        <w:t>La présente définition exclut une matière ou chose visée par règlement.</w:t>
      </w:r>
    </w:p>
    <w:p w14:paraId="38C8AE1E" w14:textId="77777777" w:rsidR="00314ED2" w:rsidRPr="00314ED2" w:rsidRDefault="00DE23CC" w:rsidP="00DE23CC">
      <w:pPr>
        <w:rPr>
          <w:b/>
          <w:lang w:val="fr-CA"/>
        </w:rPr>
      </w:pPr>
      <w:r w:rsidRPr="00314ED2">
        <w:rPr>
          <w:b/>
          <w:lang w:val="fr-CA"/>
        </w:rPr>
        <w:t xml:space="preserve">Timbre d’accise de vapotage </w:t>
      </w:r>
    </w:p>
    <w:p w14:paraId="28A410FD" w14:textId="5B60604D" w:rsidR="00DE23CC" w:rsidRPr="00DE23CC" w:rsidRDefault="00DE23CC" w:rsidP="00DE23CC">
      <w:pPr>
        <w:rPr>
          <w:lang w:val="fr-CA"/>
        </w:rPr>
      </w:pPr>
      <w:r w:rsidRPr="00DE23CC">
        <w:rPr>
          <w:lang w:val="fr-CA"/>
        </w:rPr>
        <w:t xml:space="preserve">Timbre émis par le ministre du Revenu national en vertu du paragraphe 158.36(1) de la </w:t>
      </w:r>
      <w:r w:rsidRPr="00874893">
        <w:rPr>
          <w:i/>
          <w:lang w:val="fr-CA"/>
        </w:rPr>
        <w:t>Loi de 2001 sur l’accise</w:t>
      </w:r>
      <w:r w:rsidRPr="00DE23CC">
        <w:rPr>
          <w:lang w:val="fr-CA"/>
        </w:rPr>
        <w:t xml:space="preserve"> qui n’a pas été annulé en vertu de l’article 158.4 de cette </w:t>
      </w:r>
      <w:r w:rsidR="00EA51BB" w:rsidRPr="006A4691">
        <w:rPr>
          <w:i/>
          <w:lang w:val="fr-CA"/>
        </w:rPr>
        <w:t>L</w:t>
      </w:r>
      <w:r w:rsidRPr="006A4691">
        <w:rPr>
          <w:i/>
          <w:lang w:val="fr-CA"/>
        </w:rPr>
        <w:t>oi</w:t>
      </w:r>
      <w:r w:rsidRPr="00DE23CC">
        <w:rPr>
          <w:lang w:val="fr-CA"/>
        </w:rPr>
        <w:t>.</w:t>
      </w:r>
    </w:p>
    <w:p w14:paraId="1302C08B" w14:textId="77777777" w:rsidR="00314ED2" w:rsidRPr="00314ED2" w:rsidRDefault="00DE23CC" w:rsidP="00DE23CC">
      <w:pPr>
        <w:rPr>
          <w:b/>
          <w:lang w:val="fr-CA"/>
        </w:rPr>
      </w:pPr>
      <w:r w:rsidRPr="00314ED2">
        <w:rPr>
          <w:b/>
          <w:lang w:val="fr-CA"/>
        </w:rPr>
        <w:t xml:space="preserve">Titulaire de licence de produits de vapotage </w:t>
      </w:r>
    </w:p>
    <w:p w14:paraId="392C8D15" w14:textId="05CC8B25" w:rsidR="00DE23CC" w:rsidRPr="00DE23CC" w:rsidRDefault="00DE23CC" w:rsidP="00DE23CC">
      <w:pPr>
        <w:rPr>
          <w:lang w:val="fr-CA"/>
        </w:rPr>
      </w:pPr>
      <w:r w:rsidRPr="00DE23CC">
        <w:rPr>
          <w:lang w:val="fr-CA"/>
        </w:rPr>
        <w:t xml:space="preserve">Titulaire de la licence de produits de vapotage délivrée en vertu de l’article 14 de la </w:t>
      </w:r>
      <w:r w:rsidRPr="00874893">
        <w:rPr>
          <w:i/>
          <w:lang w:val="fr-CA"/>
        </w:rPr>
        <w:t>Loi de 2001 sur l’accise</w:t>
      </w:r>
      <w:r w:rsidRPr="00DE23CC">
        <w:rPr>
          <w:lang w:val="fr-CA"/>
        </w:rPr>
        <w:t>.</w:t>
      </w:r>
    </w:p>
    <w:p w14:paraId="2627A390" w14:textId="77777777" w:rsidR="00314ED2" w:rsidRPr="00314ED2" w:rsidRDefault="00DE23CC" w:rsidP="00DE23CC">
      <w:pPr>
        <w:rPr>
          <w:b/>
          <w:lang w:val="fr-CA"/>
        </w:rPr>
      </w:pPr>
      <w:r w:rsidRPr="00314ED2">
        <w:rPr>
          <w:b/>
          <w:lang w:val="fr-CA"/>
        </w:rPr>
        <w:t xml:space="preserve">Unité </w:t>
      </w:r>
    </w:p>
    <w:p w14:paraId="1011DC52" w14:textId="070DB193" w:rsidR="00BF6306" w:rsidRPr="00295A04" w:rsidRDefault="000038FA" w:rsidP="00DE23CC">
      <w:pPr>
        <w:rPr>
          <w:lang w:val="fr-CA"/>
        </w:rPr>
      </w:pPr>
      <w:r>
        <w:rPr>
          <w:lang w:val="fr-CA"/>
        </w:rPr>
        <w:t>C</w:t>
      </w:r>
      <w:r w:rsidRPr="000038FA">
        <w:rPr>
          <w:lang w:val="fr-CA"/>
        </w:rPr>
        <w:t xml:space="preserve">onstitue une unité d’un produit de vapotage : une quantité de 120 millilitres de substance de vapotage sous forme liquide, ou 120 grammes de substance de vapotage sous forme solide, se trouvant dans </w:t>
      </w:r>
      <w:r w:rsidRPr="000038FA">
        <w:rPr>
          <w:lang w:val="fr-CA"/>
        </w:rPr>
        <w:lastRenderedPageBreak/>
        <w:t xml:space="preserve">toute combinaison d’au plus douze dispositifs de vapotage et contenants immédiats, conformément au paragraphe 5.1(2) du </w:t>
      </w:r>
      <w:r w:rsidRPr="007B40A9">
        <w:rPr>
          <w:i/>
          <w:lang w:val="fr-CA"/>
        </w:rPr>
        <w:t>Règlement sur l’estampillage et le marquage des produits du tabac, du cannabis et de vapotage</w:t>
      </w:r>
      <w:r w:rsidRPr="000038FA">
        <w:rPr>
          <w:lang w:val="fr-CA"/>
        </w:rPr>
        <w:t>.</w:t>
      </w:r>
    </w:p>
    <w:p w14:paraId="654555DB" w14:textId="77777777" w:rsidR="009016E8" w:rsidRDefault="009016E8" w:rsidP="000A6694">
      <w:pPr>
        <w:pStyle w:val="Heading2"/>
      </w:pPr>
      <w:bookmarkStart w:id="9" w:name="H03"/>
    </w:p>
    <w:p w14:paraId="55025C5A" w14:textId="06FE4FBA" w:rsidR="00F73D1A" w:rsidRPr="00295A04" w:rsidRDefault="00234D35" w:rsidP="000A6694">
      <w:pPr>
        <w:pStyle w:val="Heading2"/>
      </w:pPr>
      <w:r w:rsidRPr="00295A04">
        <w:t xml:space="preserve">Lignes directrices </w:t>
      </w:r>
      <w:bookmarkEnd w:id="9"/>
    </w:p>
    <w:p w14:paraId="2ABDAAB1" w14:textId="0A954F39" w:rsidR="002B15EF" w:rsidRPr="003B42D6" w:rsidRDefault="000038FA" w:rsidP="007D6D16">
      <w:pPr>
        <w:pStyle w:val="Heading3"/>
      </w:pPr>
      <w:bookmarkStart w:id="10" w:name="SH01"/>
      <w:r w:rsidRPr="003B42D6">
        <w:t>Date d’entrée en vigueur</w:t>
      </w:r>
      <w:bookmarkEnd w:id="10"/>
      <w:r w:rsidR="002B15EF" w:rsidRPr="003B42D6">
        <w:t xml:space="preserve"> </w:t>
      </w:r>
    </w:p>
    <w:p w14:paraId="0DFB321F" w14:textId="23AE2F97" w:rsidR="006F59A5" w:rsidRPr="00816621" w:rsidRDefault="000038FA" w:rsidP="006F59A5">
      <w:pPr>
        <w:rPr>
          <w:highlight w:val="yellow"/>
          <w:lang w:val="fr-CA" w:eastAsia="en-CA"/>
        </w:rPr>
      </w:pPr>
      <w:r>
        <w:rPr>
          <w:lang w:val="fr-CA"/>
        </w:rPr>
        <w:t xml:space="preserve">1. </w:t>
      </w:r>
      <w:r w:rsidRPr="000038FA">
        <w:rPr>
          <w:lang w:val="fr-CA"/>
        </w:rPr>
        <w:t>Le cadre de droits d’accise sur les produits de vapotage est entré</w:t>
      </w:r>
      <w:r w:rsidRPr="000038FA" w:rsidDel="000038FA">
        <w:rPr>
          <w:lang w:val="fr-CA"/>
        </w:rPr>
        <w:t xml:space="preserve"> </w:t>
      </w:r>
      <w:r w:rsidRPr="000038FA">
        <w:rPr>
          <w:lang w:val="fr-CA"/>
        </w:rPr>
        <w:t xml:space="preserve">en vigueur le </w:t>
      </w:r>
      <w:r w:rsidRPr="00D64C03">
        <w:rPr>
          <w:b/>
          <w:lang w:val="fr-CA"/>
        </w:rPr>
        <w:t>1er octobre 2022</w:t>
      </w:r>
      <w:r w:rsidR="006F59A5">
        <w:rPr>
          <w:lang w:val="fr-CA"/>
        </w:rPr>
        <w:t xml:space="preserve"> </w:t>
      </w:r>
      <w:r w:rsidR="006F59A5" w:rsidRPr="00816621">
        <w:rPr>
          <w:highlight w:val="yellow"/>
          <w:lang w:val="fr-CA" w:eastAsia="en-CA"/>
        </w:rPr>
        <w:t xml:space="preserve">et l'augmentation du taux </w:t>
      </w:r>
      <w:r w:rsidR="00966FD0" w:rsidRPr="00FF6018">
        <w:rPr>
          <w:highlight w:val="yellow"/>
          <w:lang w:val="fr-CA" w:eastAsia="en-CA"/>
        </w:rPr>
        <w:t xml:space="preserve">des droits </w:t>
      </w:r>
      <w:r w:rsidR="006F59A5" w:rsidRPr="00816621">
        <w:rPr>
          <w:highlight w:val="yellow"/>
          <w:lang w:val="fr-CA" w:eastAsia="en-CA"/>
        </w:rPr>
        <w:t xml:space="preserve">sur les produits de vapotage entre en vigueur le </w:t>
      </w:r>
      <w:r w:rsidR="006F59A5" w:rsidRPr="00CE70F3">
        <w:rPr>
          <w:b/>
          <w:highlight w:val="yellow"/>
          <w:lang w:val="fr-CA" w:eastAsia="en-CA"/>
        </w:rPr>
        <w:t>1er juillet 2024</w:t>
      </w:r>
      <w:r w:rsidR="006F59A5" w:rsidRPr="00816621">
        <w:rPr>
          <w:highlight w:val="yellow"/>
          <w:lang w:val="fr-CA" w:eastAsia="en-CA"/>
        </w:rPr>
        <w:t>.</w:t>
      </w:r>
    </w:p>
    <w:p w14:paraId="13D20628" w14:textId="5590C3DF" w:rsidR="00551B5F" w:rsidRPr="00816621" w:rsidRDefault="00551B5F" w:rsidP="00551B5F">
      <w:pPr>
        <w:pStyle w:val="ListParagraph"/>
        <w:ind w:left="0"/>
        <w:rPr>
          <w:highlight w:val="yellow"/>
          <w:lang w:val="fr-CA"/>
        </w:rPr>
      </w:pPr>
      <w:r w:rsidRPr="004D0CF0">
        <w:rPr>
          <w:highlight w:val="yellow"/>
          <w:lang w:val="fr-CA"/>
        </w:rPr>
        <w:t>2.</w:t>
      </w:r>
      <w:r w:rsidR="00FA276D">
        <w:rPr>
          <w:highlight w:val="yellow"/>
          <w:lang w:val="fr-CA"/>
        </w:rPr>
        <w:t xml:space="preserve"> </w:t>
      </w:r>
      <w:r w:rsidRPr="004D0CF0">
        <w:rPr>
          <w:highlight w:val="yellow"/>
          <w:lang w:val="fr-CA"/>
        </w:rPr>
        <w:t xml:space="preserve">L'imposition </w:t>
      </w:r>
      <w:r w:rsidRPr="00FF6018">
        <w:rPr>
          <w:highlight w:val="yellow"/>
          <w:lang w:val="fr-CA"/>
        </w:rPr>
        <w:t xml:space="preserve">d'un droit additionnel </w:t>
      </w:r>
      <w:r w:rsidR="000A394F" w:rsidRPr="00FF6018">
        <w:rPr>
          <w:highlight w:val="yellow"/>
          <w:lang w:val="fr-CA"/>
        </w:rPr>
        <w:t xml:space="preserve">sur le vapotage </w:t>
      </w:r>
      <w:r w:rsidRPr="004D0CF0">
        <w:rPr>
          <w:highlight w:val="yellow"/>
          <w:lang w:val="fr-CA"/>
        </w:rPr>
        <w:t xml:space="preserve">entre en vigueur le </w:t>
      </w:r>
      <w:r w:rsidRPr="00B074CB">
        <w:rPr>
          <w:b/>
          <w:highlight w:val="yellow"/>
          <w:lang w:val="fr-CA"/>
        </w:rPr>
        <w:t>1er juillet 2024</w:t>
      </w:r>
      <w:r w:rsidRPr="00816621">
        <w:rPr>
          <w:highlight w:val="yellow"/>
          <w:lang w:val="fr-CA"/>
        </w:rPr>
        <w:t xml:space="preserve">. Il s'applique à tout produit de vapotage </w:t>
      </w:r>
      <w:r w:rsidR="003B11A7" w:rsidRPr="00816621">
        <w:rPr>
          <w:highlight w:val="yellow"/>
          <w:lang w:val="fr-CA"/>
        </w:rPr>
        <w:t xml:space="preserve">estampillé </w:t>
      </w:r>
      <w:r w:rsidRPr="00816621">
        <w:rPr>
          <w:highlight w:val="yellow"/>
          <w:lang w:val="fr-CA"/>
        </w:rPr>
        <w:t xml:space="preserve">relatif à une province </w:t>
      </w:r>
      <w:r w:rsidR="00982DBA" w:rsidRPr="00FF6018">
        <w:rPr>
          <w:highlight w:val="yellow"/>
          <w:lang w:val="fr-CA"/>
        </w:rPr>
        <w:t>déterminée</w:t>
      </w:r>
      <w:r w:rsidRPr="00FF6018">
        <w:rPr>
          <w:highlight w:val="yellow"/>
          <w:lang w:val="fr-CA"/>
        </w:rPr>
        <w:t xml:space="preserve"> </w:t>
      </w:r>
      <w:r w:rsidRPr="00816621">
        <w:rPr>
          <w:highlight w:val="yellow"/>
          <w:lang w:val="fr-CA"/>
        </w:rPr>
        <w:t xml:space="preserve">de vapotage qui est </w:t>
      </w:r>
      <w:r w:rsidRPr="00E9534E">
        <w:rPr>
          <w:highlight w:val="yellow"/>
          <w:lang w:val="fr-CA"/>
        </w:rPr>
        <w:t xml:space="preserve">estampillé </w:t>
      </w:r>
      <w:r w:rsidR="003B11A7" w:rsidRPr="00E9534E">
        <w:rPr>
          <w:highlight w:val="yellow"/>
          <w:lang w:val="fr-CA"/>
        </w:rPr>
        <w:t xml:space="preserve">et qui </w:t>
      </w:r>
      <w:r w:rsidR="003B11A7" w:rsidRPr="00816621">
        <w:rPr>
          <w:highlight w:val="yellow"/>
          <w:lang w:val="fr-CA"/>
        </w:rPr>
        <w:t xml:space="preserve">est importé ou dédouané </w:t>
      </w:r>
      <w:r w:rsidRPr="00816621">
        <w:rPr>
          <w:highlight w:val="yellow"/>
          <w:lang w:val="fr-CA"/>
        </w:rPr>
        <w:t>en</w:t>
      </w:r>
      <w:r w:rsidRPr="009B2BAA">
        <w:rPr>
          <w:highlight w:val="yellow"/>
          <w:lang w:val="fr-CA"/>
        </w:rPr>
        <w:t xml:space="preserve"> vertu de la </w:t>
      </w:r>
      <w:r w:rsidRPr="009B2BAA">
        <w:rPr>
          <w:i/>
          <w:highlight w:val="yellow"/>
          <w:lang w:val="fr-CA"/>
        </w:rPr>
        <w:t>Loi sur les douanes</w:t>
      </w:r>
      <w:r w:rsidRPr="009B2BAA">
        <w:rPr>
          <w:highlight w:val="yellow"/>
          <w:lang w:val="fr-CA"/>
        </w:rPr>
        <w:t xml:space="preserve"> </w:t>
      </w:r>
      <w:r w:rsidR="003B11A7" w:rsidRPr="009B2BAA">
        <w:rPr>
          <w:highlight w:val="yellow"/>
          <w:lang w:val="fr-CA"/>
        </w:rPr>
        <w:t>le 1</w:t>
      </w:r>
      <w:r w:rsidR="003B11A7" w:rsidRPr="00CE70F3">
        <w:rPr>
          <w:highlight w:val="yellow"/>
          <w:lang w:val="fr-CA"/>
        </w:rPr>
        <w:t>er</w:t>
      </w:r>
      <w:r w:rsidR="003B11A7" w:rsidRPr="009B2BAA">
        <w:rPr>
          <w:highlight w:val="yellow"/>
          <w:lang w:val="fr-CA"/>
        </w:rPr>
        <w:t xml:space="preserve"> juillet 2024 ou </w:t>
      </w:r>
      <w:r w:rsidR="003B11A7" w:rsidRPr="009B2BAA">
        <w:rPr>
          <w:highlight w:val="yellow"/>
          <w:lang w:val="fr-CA" w:eastAsia="en-CA"/>
        </w:rPr>
        <w:t xml:space="preserve">après </w:t>
      </w:r>
      <w:r w:rsidRPr="009B2BAA">
        <w:rPr>
          <w:highlight w:val="yellow"/>
          <w:lang w:val="fr-CA"/>
        </w:rPr>
        <w:t>cette date</w:t>
      </w:r>
      <w:r w:rsidR="009B2BAA" w:rsidRPr="00CE70F3">
        <w:rPr>
          <w:highlight w:val="yellow"/>
          <w:lang w:val="fr-CA"/>
        </w:rPr>
        <w:t xml:space="preserve"> (fait référence au timbre qui indique que le droit additionnel </w:t>
      </w:r>
      <w:r w:rsidR="004F1735" w:rsidRPr="00FF6018">
        <w:rPr>
          <w:highlight w:val="yellow"/>
          <w:lang w:val="fr-CA"/>
        </w:rPr>
        <w:t xml:space="preserve">sur le vapotage </w:t>
      </w:r>
      <w:r w:rsidR="009B2BAA" w:rsidRPr="00CE70F3">
        <w:rPr>
          <w:highlight w:val="yellow"/>
          <w:lang w:val="fr-CA"/>
        </w:rPr>
        <w:t>relatif à la province déterminée de vapotage a été payé)</w:t>
      </w:r>
      <w:r w:rsidRPr="009B2BAA">
        <w:rPr>
          <w:highlight w:val="yellow"/>
          <w:lang w:val="fr-CA"/>
        </w:rPr>
        <w:t>.</w:t>
      </w:r>
      <w:r w:rsidR="003B11A7" w:rsidRPr="009B2BAA">
        <w:rPr>
          <w:highlight w:val="yellow"/>
          <w:lang w:val="fr-CA"/>
        </w:rPr>
        <w:t xml:space="preserve"> </w:t>
      </w:r>
    </w:p>
    <w:p w14:paraId="1997A900" w14:textId="7720B0BC" w:rsidR="00816621" w:rsidRPr="00057C6C" w:rsidRDefault="00816621" w:rsidP="00CE70F3">
      <w:pPr>
        <w:pStyle w:val="Heading3"/>
        <w:rPr>
          <w:highlight w:val="yellow"/>
        </w:rPr>
      </w:pPr>
      <w:bookmarkStart w:id="11" w:name="_Mesures_transitoires_–"/>
      <w:bookmarkEnd w:id="11"/>
      <w:r w:rsidRPr="00816621">
        <w:rPr>
          <w:highlight w:val="yellow"/>
        </w:rPr>
        <w:t xml:space="preserve">Mesures transitoires – </w:t>
      </w:r>
      <w:r w:rsidRPr="00FF6018">
        <w:rPr>
          <w:highlight w:val="yellow"/>
        </w:rPr>
        <w:t>droit additionnel</w:t>
      </w:r>
      <w:r w:rsidR="00027BB4" w:rsidRPr="00CE70F3">
        <w:rPr>
          <w:highlight w:val="yellow"/>
        </w:rPr>
        <w:t xml:space="preserve"> sur le</w:t>
      </w:r>
      <w:r w:rsidR="00E476D9" w:rsidRPr="00FF6018">
        <w:rPr>
          <w:highlight w:val="yellow"/>
        </w:rPr>
        <w:t xml:space="preserve"> vapotage</w:t>
      </w:r>
    </w:p>
    <w:p w14:paraId="4CCA1098" w14:textId="02A23051" w:rsidR="00551B5F" w:rsidRPr="00816621" w:rsidRDefault="00551B5F" w:rsidP="00551B5F">
      <w:pPr>
        <w:rPr>
          <w:rFonts w:eastAsia="Times New Roman" w:cs="Arial"/>
          <w:szCs w:val="24"/>
          <w:highlight w:val="yellow"/>
          <w:lang w:val="fr-CA" w:bidi="en-US"/>
        </w:rPr>
      </w:pPr>
      <w:r w:rsidRPr="00816621">
        <w:rPr>
          <w:highlight w:val="yellow"/>
          <w:lang w:val="fr-CA"/>
        </w:rPr>
        <w:t>3</w:t>
      </w:r>
      <w:r w:rsidR="007F73B4" w:rsidRPr="00816621">
        <w:rPr>
          <w:highlight w:val="yellow"/>
          <w:lang w:val="fr-CA"/>
        </w:rPr>
        <w:t xml:space="preserve">. </w:t>
      </w:r>
      <w:r w:rsidRPr="00CE70F3">
        <w:rPr>
          <w:rFonts w:eastAsia="Times New Roman" w:cs="Arial"/>
          <w:szCs w:val="24"/>
          <w:highlight w:val="yellow"/>
          <w:lang w:val="fr-CA" w:bidi="en-US"/>
        </w:rPr>
        <w:t>Une période de transition de trois mois est prévue pendant laquelle</w:t>
      </w:r>
      <w:r w:rsidR="00ED4A2D" w:rsidRPr="00CE70F3">
        <w:rPr>
          <w:rFonts w:eastAsia="Times New Roman" w:cs="Arial"/>
          <w:szCs w:val="24"/>
          <w:highlight w:val="yellow"/>
          <w:lang w:val="fr-CA" w:bidi="en-US"/>
        </w:rPr>
        <w:t> </w:t>
      </w:r>
      <w:r w:rsidRPr="00CE70F3">
        <w:rPr>
          <w:rFonts w:eastAsia="Times New Roman" w:cs="Arial"/>
          <w:szCs w:val="24"/>
          <w:highlight w:val="yellow"/>
          <w:lang w:val="fr-CA" w:bidi="en-US"/>
        </w:rPr>
        <w:t>les p</w:t>
      </w:r>
      <w:r w:rsidR="00501A0B" w:rsidRPr="00CE70F3">
        <w:rPr>
          <w:rFonts w:eastAsia="Times New Roman" w:cs="Arial"/>
          <w:szCs w:val="24"/>
          <w:highlight w:val="yellow"/>
          <w:lang w:val="fr-CA" w:bidi="en-US"/>
        </w:rPr>
        <w:t xml:space="preserve">roduits de vapotage </w:t>
      </w:r>
      <w:r w:rsidR="00ED4A2D" w:rsidRPr="00CE70F3">
        <w:rPr>
          <w:rFonts w:eastAsia="Times New Roman" w:cs="Arial"/>
          <w:szCs w:val="24"/>
          <w:highlight w:val="yellow"/>
          <w:lang w:val="fr-CA" w:bidi="en-US"/>
        </w:rPr>
        <w:t xml:space="preserve">portant le timbre </w:t>
      </w:r>
      <w:r w:rsidR="00350561" w:rsidRPr="00CE70F3">
        <w:rPr>
          <w:rFonts w:cs="Arial"/>
          <w:szCs w:val="24"/>
          <w:highlight w:val="yellow"/>
          <w:lang w:val="fr-CA"/>
        </w:rPr>
        <w:t xml:space="preserve">de vapotage </w:t>
      </w:r>
      <w:r w:rsidR="00235070" w:rsidRPr="00CE70F3">
        <w:rPr>
          <w:rFonts w:cs="Arial"/>
          <w:szCs w:val="24"/>
          <w:highlight w:val="yellow"/>
          <w:lang w:val="fr-CA"/>
        </w:rPr>
        <w:t>identifi</w:t>
      </w:r>
      <w:r w:rsidR="007E6B4D" w:rsidRPr="00CE70F3">
        <w:rPr>
          <w:rFonts w:cs="Arial"/>
          <w:szCs w:val="24"/>
          <w:highlight w:val="yellow"/>
          <w:lang w:val="fr-CA"/>
        </w:rPr>
        <w:t>cateur</w:t>
      </w:r>
      <w:r w:rsidR="00E532F9" w:rsidRPr="00CE70F3">
        <w:rPr>
          <w:rFonts w:cs="Arial"/>
          <w:szCs w:val="24"/>
          <w:highlight w:val="yellow"/>
          <w:lang w:val="fr-CA"/>
        </w:rPr>
        <w:t>-CAN</w:t>
      </w:r>
      <w:r w:rsidR="007E6B4D" w:rsidRPr="00CE70F3">
        <w:rPr>
          <w:rFonts w:cs="Arial"/>
          <w:szCs w:val="24"/>
          <w:highlight w:val="yellow"/>
          <w:lang w:val="fr-CA"/>
        </w:rPr>
        <w:t xml:space="preserve"> </w:t>
      </w:r>
      <w:r w:rsidR="00501A0B" w:rsidRPr="00CE70F3">
        <w:rPr>
          <w:rFonts w:eastAsia="Times New Roman" w:cs="Arial"/>
          <w:szCs w:val="24"/>
          <w:highlight w:val="yellow"/>
          <w:lang w:val="fr-CA" w:bidi="en-US"/>
        </w:rPr>
        <w:t xml:space="preserve">qui sont importés ou dédouanés en vertu de la </w:t>
      </w:r>
      <w:r w:rsidR="00501A0B" w:rsidRPr="00CE70F3">
        <w:rPr>
          <w:rFonts w:eastAsia="Times New Roman" w:cs="Arial"/>
          <w:i/>
          <w:szCs w:val="24"/>
          <w:highlight w:val="yellow"/>
          <w:lang w:val="fr-CA" w:bidi="en-US"/>
        </w:rPr>
        <w:t>Loi sur les douanes</w:t>
      </w:r>
      <w:r w:rsidR="00501A0B" w:rsidRPr="00CE70F3">
        <w:rPr>
          <w:rFonts w:eastAsia="Times New Roman" w:cs="Arial"/>
          <w:szCs w:val="24"/>
          <w:highlight w:val="yellow"/>
          <w:lang w:val="fr-CA" w:bidi="en-US"/>
        </w:rPr>
        <w:t xml:space="preserve"> avant le 1er juillet 2024, </w:t>
      </w:r>
      <w:r w:rsidR="00100D46" w:rsidRPr="00CE70F3">
        <w:rPr>
          <w:rFonts w:eastAsia="Times New Roman" w:cs="Arial"/>
          <w:szCs w:val="24"/>
          <w:highlight w:val="yellow"/>
          <w:lang w:val="fr-CA" w:bidi="en-US"/>
        </w:rPr>
        <w:t>où</w:t>
      </w:r>
      <w:r w:rsidR="00501A0B" w:rsidRPr="00CE70F3">
        <w:rPr>
          <w:rFonts w:eastAsia="Times New Roman" w:cs="Arial"/>
          <w:szCs w:val="24"/>
          <w:highlight w:val="yellow"/>
          <w:lang w:val="fr-CA" w:bidi="en-US"/>
        </w:rPr>
        <w:t xml:space="preserve"> les produits de vapotage non estampillés qui sont importés à des fins d'estampillage au Canada et qui ont été estampillé </w:t>
      </w:r>
      <w:r w:rsidR="001C0EFA" w:rsidRPr="00CE70F3">
        <w:rPr>
          <w:rFonts w:eastAsia="Times New Roman" w:cs="Arial"/>
          <w:szCs w:val="24"/>
          <w:highlight w:val="yellow"/>
          <w:lang w:val="fr-CA" w:bidi="en-US"/>
        </w:rPr>
        <w:t>avec le timbre</w:t>
      </w:r>
      <w:r w:rsidR="00F61B17" w:rsidRPr="00CE70F3">
        <w:rPr>
          <w:rFonts w:eastAsia="Times New Roman" w:cs="Arial"/>
          <w:szCs w:val="24"/>
          <w:highlight w:val="yellow"/>
          <w:lang w:val="fr-CA" w:bidi="en-US"/>
        </w:rPr>
        <w:t xml:space="preserve"> </w:t>
      </w:r>
      <w:r w:rsidR="00641C85" w:rsidRPr="00CE70F3">
        <w:rPr>
          <w:rFonts w:cs="Arial"/>
          <w:szCs w:val="24"/>
          <w:highlight w:val="yellow"/>
          <w:lang w:val="fr-CA"/>
        </w:rPr>
        <w:t xml:space="preserve">de vapotage </w:t>
      </w:r>
      <w:r w:rsidR="007E6B4D" w:rsidRPr="00CE70F3">
        <w:rPr>
          <w:rFonts w:cs="Arial"/>
          <w:szCs w:val="24"/>
          <w:highlight w:val="yellow"/>
          <w:lang w:val="fr-CA"/>
        </w:rPr>
        <w:t>identificateur</w:t>
      </w:r>
      <w:r w:rsidR="00E532F9" w:rsidRPr="00CE70F3">
        <w:rPr>
          <w:rFonts w:cs="Arial"/>
          <w:szCs w:val="24"/>
          <w:highlight w:val="yellow"/>
          <w:lang w:val="fr-CA"/>
        </w:rPr>
        <w:t>-CAN</w:t>
      </w:r>
      <w:r w:rsidR="007E6B4D" w:rsidRPr="00CE70F3">
        <w:rPr>
          <w:rFonts w:cs="Arial"/>
          <w:szCs w:val="24"/>
          <w:highlight w:val="yellow"/>
          <w:lang w:val="fr-CA"/>
        </w:rPr>
        <w:t xml:space="preserve"> </w:t>
      </w:r>
      <w:r w:rsidR="00501A0B" w:rsidRPr="00CE70F3">
        <w:rPr>
          <w:rFonts w:eastAsia="Times New Roman" w:cs="Arial"/>
          <w:szCs w:val="24"/>
          <w:highlight w:val="yellow"/>
          <w:lang w:val="fr-CA" w:bidi="en-US"/>
        </w:rPr>
        <w:t>au Canada a</w:t>
      </w:r>
      <w:r w:rsidR="007D73A6" w:rsidRPr="00CE70F3">
        <w:rPr>
          <w:rFonts w:eastAsia="Times New Roman" w:cs="Arial"/>
          <w:szCs w:val="24"/>
          <w:highlight w:val="yellow"/>
          <w:lang w:val="fr-CA" w:bidi="en-US"/>
        </w:rPr>
        <w:t>vant le 1er juillet 2024</w:t>
      </w:r>
      <w:r w:rsidR="007E6B4D" w:rsidRPr="00CE70F3">
        <w:rPr>
          <w:rFonts w:eastAsia="Times New Roman" w:cs="Arial"/>
          <w:szCs w:val="24"/>
          <w:highlight w:val="yellow"/>
          <w:lang w:val="fr-CA" w:bidi="en-US"/>
        </w:rPr>
        <w:t>,</w:t>
      </w:r>
      <w:r w:rsidR="00501A0B" w:rsidRPr="00CE70F3">
        <w:rPr>
          <w:rFonts w:eastAsia="Times New Roman" w:cs="Arial"/>
          <w:szCs w:val="24"/>
          <w:highlight w:val="yellow"/>
          <w:lang w:val="fr-CA" w:bidi="en-US"/>
        </w:rPr>
        <w:t xml:space="preserve"> peuvent être aliénés, vendus, mis en vente, achetés </w:t>
      </w:r>
      <w:r w:rsidR="00501A0B" w:rsidRPr="00C84839">
        <w:rPr>
          <w:rFonts w:eastAsia="Times New Roman" w:cs="Arial"/>
          <w:szCs w:val="24"/>
          <w:highlight w:val="yellow"/>
          <w:lang w:val="fr-CA" w:bidi="en-US"/>
        </w:rPr>
        <w:t xml:space="preserve">et possédés </w:t>
      </w:r>
      <w:r w:rsidR="00501A0B" w:rsidRPr="00816621">
        <w:rPr>
          <w:rFonts w:eastAsia="Times New Roman" w:cs="Arial"/>
          <w:szCs w:val="24"/>
          <w:highlight w:val="yellow"/>
          <w:lang w:val="fr-CA" w:bidi="en-US"/>
        </w:rPr>
        <w:t>jusqu'au 30 septembre 2024.</w:t>
      </w:r>
      <w:r w:rsidR="003D27F2" w:rsidRPr="00816621">
        <w:rPr>
          <w:rFonts w:eastAsia="Times New Roman" w:cs="Arial"/>
          <w:szCs w:val="24"/>
          <w:highlight w:val="yellow"/>
          <w:lang w:val="fr-CA" w:bidi="en-US"/>
        </w:rPr>
        <w:t xml:space="preserve"> </w:t>
      </w:r>
      <w:r w:rsidRPr="00816621">
        <w:rPr>
          <w:rFonts w:eastAsia="Times New Roman" w:cs="Arial"/>
          <w:szCs w:val="24"/>
          <w:highlight w:val="yellow"/>
          <w:lang w:val="fr-CA" w:bidi="en-US"/>
        </w:rPr>
        <w:t xml:space="preserve">Pour plus d'informations, consultez le </w:t>
      </w:r>
      <w:r w:rsidRPr="00816621">
        <w:rPr>
          <w:rFonts w:eastAsia="Times New Roman" w:cs="Arial"/>
          <w:i/>
          <w:szCs w:val="24"/>
          <w:highlight w:val="yellow"/>
          <w:lang w:val="fr-CA" w:bidi="en-US"/>
        </w:rPr>
        <w:t>Règlement sur les droits d'accise sur les produits de vapotage</w:t>
      </w:r>
      <w:r w:rsidRPr="00816621">
        <w:rPr>
          <w:rFonts w:eastAsia="Times New Roman" w:cs="Arial"/>
          <w:szCs w:val="24"/>
          <w:highlight w:val="yellow"/>
          <w:lang w:val="fr-CA" w:bidi="en-US"/>
        </w:rPr>
        <w:t xml:space="preserve"> au lien qui se trouve dans la section </w:t>
      </w:r>
      <w:hyperlink w:anchor="Lienscommexes" w:history="1">
        <w:r w:rsidRPr="00816621">
          <w:rPr>
            <w:rStyle w:val="Hyperlink"/>
            <w:color w:val="auto"/>
            <w:highlight w:val="yellow"/>
            <w:u w:val="none"/>
            <w:lang w:val="fr-CA"/>
          </w:rPr>
          <w:t>Liens connexes</w:t>
        </w:r>
      </w:hyperlink>
      <w:r w:rsidRPr="00816621">
        <w:rPr>
          <w:rStyle w:val="Hyperlink"/>
          <w:color w:val="auto"/>
          <w:highlight w:val="yellow"/>
          <w:u w:val="none"/>
          <w:lang w:val="fr-CA"/>
        </w:rPr>
        <w:t xml:space="preserve"> </w:t>
      </w:r>
      <w:r w:rsidRPr="00816621">
        <w:rPr>
          <w:rFonts w:eastAsia="Times New Roman" w:cs="Arial"/>
          <w:szCs w:val="24"/>
          <w:highlight w:val="yellow"/>
          <w:lang w:val="fr-CA" w:bidi="en-US"/>
        </w:rPr>
        <w:t xml:space="preserve">de ce </w:t>
      </w:r>
      <w:r w:rsidRPr="00D34BE8">
        <w:rPr>
          <w:rFonts w:eastAsia="Times New Roman" w:cs="Arial"/>
          <w:szCs w:val="24"/>
          <w:highlight w:val="yellow"/>
          <w:lang w:val="fr-CA" w:bidi="en-US"/>
        </w:rPr>
        <w:t>mémorandum.</w:t>
      </w:r>
    </w:p>
    <w:p w14:paraId="02859DEF" w14:textId="1E583FF5" w:rsidR="00433EF0" w:rsidRPr="00447EBA" w:rsidRDefault="00433EF0" w:rsidP="007D6D16">
      <w:pPr>
        <w:pStyle w:val="Heading3"/>
      </w:pPr>
      <w:bookmarkStart w:id="12" w:name="SH02"/>
      <w:r w:rsidRPr="00447EBA">
        <w:t xml:space="preserve">Devises </w:t>
      </w:r>
      <w:bookmarkEnd w:id="12"/>
    </w:p>
    <w:p w14:paraId="16944B76" w14:textId="23234EB7" w:rsidR="000038FA" w:rsidRPr="00E64744" w:rsidRDefault="00113D0F" w:rsidP="004E5DAA">
      <w:pPr>
        <w:rPr>
          <w:lang w:val="fr-CA"/>
        </w:rPr>
      </w:pPr>
      <w:r w:rsidRPr="00CE70F3">
        <w:rPr>
          <w:lang w:val="fr-CA"/>
        </w:rPr>
        <w:t>4</w:t>
      </w:r>
      <w:r w:rsidR="00433EF0" w:rsidRPr="009B2BAA">
        <w:rPr>
          <w:lang w:val="fr-CA"/>
        </w:rPr>
        <w:t>. Tous</w:t>
      </w:r>
      <w:r w:rsidR="00433EF0" w:rsidRPr="00433EF0">
        <w:rPr>
          <w:lang w:val="fr-CA"/>
        </w:rPr>
        <w:t xml:space="preserve"> les montants énoncés dans ce mémorandum </w:t>
      </w:r>
      <w:r w:rsidR="00433EF0" w:rsidRPr="00E64744">
        <w:rPr>
          <w:lang w:val="fr-CA"/>
        </w:rPr>
        <w:t>sont en dollars canadiens.</w:t>
      </w:r>
    </w:p>
    <w:p w14:paraId="4C044A73" w14:textId="7213EA60" w:rsidR="005F2890" w:rsidRPr="00E64744" w:rsidRDefault="00B06EE7" w:rsidP="007D6D16">
      <w:pPr>
        <w:pStyle w:val="Heading3"/>
      </w:pPr>
      <w:bookmarkStart w:id="13" w:name="SH03"/>
      <w:r>
        <w:t>Santé Canada — c</w:t>
      </w:r>
      <w:r w:rsidR="005F2890" w:rsidRPr="00E64744">
        <w:t>onformité</w:t>
      </w:r>
      <w:bookmarkEnd w:id="13"/>
      <w:r w:rsidR="005F2890" w:rsidRPr="00E64744">
        <w:t xml:space="preserve"> </w:t>
      </w:r>
    </w:p>
    <w:p w14:paraId="243DEA78" w14:textId="6F2CDF2C" w:rsidR="000038FA" w:rsidRPr="005F2890" w:rsidRDefault="001060A8" w:rsidP="004E5DAA">
      <w:pPr>
        <w:rPr>
          <w:szCs w:val="24"/>
          <w:lang w:val="fr-CA"/>
        </w:rPr>
      </w:pPr>
      <w:r>
        <w:rPr>
          <w:rFonts w:cs="Arial"/>
          <w:color w:val="333333"/>
          <w:szCs w:val="24"/>
          <w:shd w:val="clear" w:color="auto" w:fill="FFFFFF"/>
          <w:lang w:val="fr-CA"/>
        </w:rPr>
        <w:t>5</w:t>
      </w:r>
      <w:r w:rsidR="005F2890" w:rsidRPr="00E64744">
        <w:rPr>
          <w:rFonts w:cs="Arial"/>
          <w:color w:val="333333"/>
          <w:szCs w:val="24"/>
          <w:shd w:val="clear" w:color="auto" w:fill="FFFFFF"/>
          <w:lang w:val="fr-CA"/>
        </w:rPr>
        <w:t>. Les fabricants, les importateurs et les vendeurs de produits de vapotage doivent aussi se conformer à la </w:t>
      </w:r>
      <w:r w:rsidR="005F2890" w:rsidRPr="00E64744">
        <w:rPr>
          <w:rFonts w:cs="Arial"/>
          <w:i/>
          <w:iCs/>
          <w:color w:val="333333"/>
          <w:szCs w:val="24"/>
          <w:shd w:val="clear" w:color="auto" w:fill="FFFFFF"/>
          <w:lang w:val="fr-CA"/>
        </w:rPr>
        <w:t>Loi sur le tabac et les produits de vapotage</w:t>
      </w:r>
      <w:r w:rsidR="005F2890" w:rsidRPr="00E64744">
        <w:rPr>
          <w:rFonts w:cs="Arial"/>
          <w:color w:val="333333"/>
          <w:szCs w:val="24"/>
          <w:shd w:val="clear" w:color="auto" w:fill="FFFFFF"/>
          <w:lang w:val="fr-CA"/>
        </w:rPr>
        <w:t> et à la </w:t>
      </w:r>
      <w:r w:rsidR="005F2890" w:rsidRPr="00E64744">
        <w:rPr>
          <w:rFonts w:cs="Arial"/>
          <w:i/>
          <w:iCs/>
          <w:color w:val="333333"/>
          <w:szCs w:val="24"/>
          <w:shd w:val="clear" w:color="auto" w:fill="FFFFFF"/>
          <w:lang w:val="fr-CA"/>
        </w:rPr>
        <w:t>Loi canadienne sur la sécurité des produits de consommation</w:t>
      </w:r>
      <w:r w:rsidR="005F2890" w:rsidRPr="00E64744">
        <w:rPr>
          <w:rFonts w:cs="Arial"/>
          <w:color w:val="333333"/>
          <w:szCs w:val="24"/>
          <w:shd w:val="clear" w:color="auto" w:fill="FFFFFF"/>
          <w:lang w:val="fr-CA"/>
        </w:rPr>
        <w:t xml:space="preserve">. Pour plus de renseignements, consultez </w:t>
      </w:r>
      <w:r w:rsidR="005F2890" w:rsidRPr="006A4691">
        <w:rPr>
          <w:rFonts w:cs="Arial"/>
          <w:i/>
          <w:color w:val="333333"/>
          <w:szCs w:val="24"/>
          <w:shd w:val="clear" w:color="auto" w:fill="FFFFFF"/>
          <w:lang w:val="fr-CA"/>
        </w:rPr>
        <w:t>Conformité et application de la loi sur le vapotage</w:t>
      </w:r>
      <w:r w:rsidR="005F2890" w:rsidRPr="00E64744">
        <w:rPr>
          <w:rFonts w:cs="Arial"/>
          <w:color w:val="333333"/>
          <w:szCs w:val="24"/>
          <w:shd w:val="clear" w:color="auto" w:fill="FFFFFF"/>
          <w:lang w:val="fr-CA"/>
        </w:rPr>
        <w:t>, au lien se trouvant dans la section</w:t>
      </w:r>
      <w:r w:rsidR="003530F1" w:rsidRPr="00E64744">
        <w:rPr>
          <w:rFonts w:cs="Arial"/>
          <w:color w:val="333333"/>
          <w:szCs w:val="24"/>
          <w:shd w:val="clear" w:color="auto" w:fill="FFFFFF"/>
          <w:lang w:val="fr-CA"/>
        </w:rPr>
        <w:t> </w:t>
      </w:r>
      <w:hyperlink w:anchor="Lienscommexes" w:history="1">
        <w:r w:rsidR="00002AD2" w:rsidRPr="006A4691">
          <w:rPr>
            <w:rStyle w:val="Hyperlink"/>
            <w:color w:val="auto"/>
            <w:u w:val="none"/>
            <w:lang w:val="fr-CA"/>
          </w:rPr>
          <w:t>Liens connexes</w:t>
        </w:r>
      </w:hyperlink>
      <w:r w:rsidR="005F2890" w:rsidRPr="00E64744">
        <w:rPr>
          <w:rFonts w:cs="Arial"/>
          <w:color w:val="333333"/>
          <w:szCs w:val="24"/>
          <w:shd w:val="clear" w:color="auto" w:fill="FFFFFF"/>
          <w:lang w:val="fr-CA"/>
        </w:rPr>
        <w:t> de ce mémorandum.</w:t>
      </w:r>
    </w:p>
    <w:p w14:paraId="0116E958" w14:textId="1A5D4927" w:rsidR="005F2890" w:rsidRPr="00447EBA" w:rsidRDefault="005F2890" w:rsidP="007D6D16">
      <w:pPr>
        <w:pStyle w:val="Heading3"/>
      </w:pPr>
      <w:bookmarkStart w:id="14" w:name="SH04"/>
      <w:r w:rsidRPr="00447EBA">
        <w:t>Portée du cadre des droits d’accise sur les produits de vapotage</w:t>
      </w:r>
      <w:bookmarkEnd w:id="14"/>
      <w:r w:rsidRPr="00447EBA">
        <w:t xml:space="preserve"> </w:t>
      </w:r>
    </w:p>
    <w:p w14:paraId="42DD795E" w14:textId="4DA03E09" w:rsidR="005F2890" w:rsidRPr="005F2890" w:rsidRDefault="001060A8" w:rsidP="005F2890">
      <w:pPr>
        <w:rPr>
          <w:lang w:val="fr-CA"/>
        </w:rPr>
      </w:pPr>
      <w:r>
        <w:rPr>
          <w:lang w:val="fr-CA"/>
        </w:rPr>
        <w:t>6</w:t>
      </w:r>
      <w:r w:rsidR="005F2890" w:rsidRPr="005F2890">
        <w:rPr>
          <w:lang w:val="fr-CA"/>
        </w:rPr>
        <w:t>. Le cadre des droits d’accise sur les produits de vapotage s’applique aux produits de vapotage importés au Canada en vue d’être mis sur le marché canadien des marchandises acquittées, qu’ils contiennent ou non de la nicotine.</w:t>
      </w:r>
    </w:p>
    <w:p w14:paraId="3D2D09E4" w14:textId="19BA0686" w:rsidR="005F2890" w:rsidRPr="005F2890" w:rsidRDefault="001060A8" w:rsidP="005F2890">
      <w:pPr>
        <w:rPr>
          <w:lang w:val="fr-CA"/>
        </w:rPr>
      </w:pPr>
      <w:r>
        <w:rPr>
          <w:lang w:val="fr-CA"/>
        </w:rPr>
        <w:t>7</w:t>
      </w:r>
      <w:r w:rsidR="005F2890" w:rsidRPr="005F2890">
        <w:rPr>
          <w:lang w:val="fr-CA"/>
        </w:rPr>
        <w:t xml:space="preserve">. Les produits de vapotage qui ne répondent pas à la définition d’un produit de vapotage en vertu de la </w:t>
      </w:r>
      <w:r w:rsidR="005F2890" w:rsidRPr="007B40A9">
        <w:rPr>
          <w:i/>
          <w:lang w:val="fr-CA"/>
        </w:rPr>
        <w:t>Loi de 2001 sur l’accise</w:t>
      </w:r>
      <w:r w:rsidR="005F2890" w:rsidRPr="005F2890">
        <w:rPr>
          <w:lang w:val="fr-CA"/>
        </w:rPr>
        <w:t xml:space="preserve"> ne sont pas visés par le cadre des droits d’accise. Par exemple, les substances de vapotage qui contiennent du tabac ou du cannabis et les dispositifs de vapotage réutilisables (c.-à.</w:t>
      </w:r>
      <w:r w:rsidR="00305B97">
        <w:rPr>
          <w:lang w:val="fr-CA"/>
        </w:rPr>
        <w:t>-</w:t>
      </w:r>
      <w:r w:rsidR="005F2890" w:rsidRPr="005F2890">
        <w:rPr>
          <w:lang w:val="fr-CA"/>
        </w:rPr>
        <w:t>d., stylos vaporisateurs) qui ne contiennent pas de substance de vapotage, ne répondent pas à la définition de produit de vapotage et ne sont donc pas visés par le cadre des droits</w:t>
      </w:r>
      <w:r w:rsidR="008E347F">
        <w:rPr>
          <w:lang w:val="fr-CA"/>
        </w:rPr>
        <w:t xml:space="preserve"> d’accise.</w:t>
      </w:r>
    </w:p>
    <w:p w14:paraId="76552576" w14:textId="2DD3C684" w:rsidR="005F2890" w:rsidRPr="005F2890" w:rsidRDefault="001060A8" w:rsidP="005F2890">
      <w:pPr>
        <w:rPr>
          <w:lang w:val="fr-CA"/>
        </w:rPr>
      </w:pPr>
      <w:r>
        <w:rPr>
          <w:lang w:val="fr-CA"/>
        </w:rPr>
        <w:t>8</w:t>
      </w:r>
      <w:r w:rsidR="005F2890" w:rsidRPr="005F2890">
        <w:rPr>
          <w:lang w:val="fr-CA"/>
        </w:rPr>
        <w:t xml:space="preserve">. </w:t>
      </w:r>
      <w:r w:rsidR="00E10B1F" w:rsidRPr="00E10B1F">
        <w:rPr>
          <w:lang w:val="fr-CA"/>
        </w:rPr>
        <w:t xml:space="preserve">Une personne qui fabrique des produits de vapotage au Canada ou qui importe des produits de vapotage emballés pour les estampiller, à l’exception de la fabrication pour son usage personnel, est tenue d’obtenir une licence de produits de vapotage auprès de l’Agence du revenu du Canada (ARC). Ces personnes doivent répondre à des critères d’admissibilité précis pour obtenir une licence de produit de vapotage en vertu de la </w:t>
      </w:r>
      <w:r w:rsidR="00E10B1F" w:rsidRPr="007B40A9">
        <w:rPr>
          <w:i/>
          <w:lang w:val="fr-CA"/>
        </w:rPr>
        <w:t>Loi de 2001 sur l’accise</w:t>
      </w:r>
      <w:r w:rsidR="005F2890" w:rsidRPr="005F2890">
        <w:rPr>
          <w:lang w:val="fr-CA"/>
        </w:rPr>
        <w:t>.</w:t>
      </w:r>
    </w:p>
    <w:p w14:paraId="61043F2F" w14:textId="6828525E" w:rsidR="005F2890" w:rsidRPr="005F2890" w:rsidRDefault="001060A8" w:rsidP="005F2890">
      <w:pPr>
        <w:rPr>
          <w:lang w:val="fr-CA"/>
        </w:rPr>
      </w:pPr>
      <w:r>
        <w:rPr>
          <w:lang w:val="fr-CA"/>
        </w:rPr>
        <w:t>9</w:t>
      </w:r>
      <w:r w:rsidR="005F2890" w:rsidRPr="005F2890">
        <w:rPr>
          <w:lang w:val="fr-CA"/>
        </w:rPr>
        <w:t>. Une personne qui importe seulement des produits de vapotage emballés en vue d’être mis sur le marché canadien des marchandises acquittées, est tenue d’être, auprès de l’ARC, une personne visée par règlement relativement aux produits de vapotage afin d’obtenir des timbres d’accise de vapotage pour ses produits.</w:t>
      </w:r>
    </w:p>
    <w:p w14:paraId="23383CFC" w14:textId="77777777" w:rsidR="005C287C" w:rsidRDefault="001060A8" w:rsidP="005912E5">
      <w:pPr>
        <w:rPr>
          <w:lang w:val="fr-CA"/>
        </w:rPr>
      </w:pPr>
      <w:r>
        <w:rPr>
          <w:lang w:val="fr-CA"/>
        </w:rPr>
        <w:t>10</w:t>
      </w:r>
      <w:r w:rsidR="005F2890" w:rsidRPr="005F2890">
        <w:rPr>
          <w:lang w:val="fr-CA"/>
        </w:rPr>
        <w:t>. Les titulaires de licence de produits de vapotage et les personnes visées par règlement relativement aux produits de vapotage doivent aussi s’inscrire auprès de l’ARC dans le cadre du régime d’estampillage des produits de vapotage. Tous les produits de vapotage entrant sur le marché canadien des marchandises acquittées doivent être emballés avec un timbre d’accise de vapotage apposé au produit.</w:t>
      </w:r>
      <w:r w:rsidR="005912E5">
        <w:rPr>
          <w:lang w:val="fr-CA"/>
        </w:rPr>
        <w:t xml:space="preserve"> </w:t>
      </w:r>
    </w:p>
    <w:p w14:paraId="7D7C7130" w14:textId="49D5ACD4" w:rsidR="005C287C" w:rsidRPr="005915D1" w:rsidRDefault="00C53C23" w:rsidP="005C287C">
      <w:pPr>
        <w:rPr>
          <w:rFonts w:eastAsia="Times New Roman" w:cs="Arial"/>
          <w:szCs w:val="24"/>
          <w:highlight w:val="yellow"/>
          <w:lang w:val="fr-CA" w:bidi="en-US"/>
        </w:rPr>
      </w:pPr>
      <w:r w:rsidRPr="005915D1">
        <w:rPr>
          <w:rFonts w:eastAsia="Times New Roman" w:cs="Arial"/>
          <w:szCs w:val="24"/>
          <w:highlight w:val="yellow"/>
          <w:lang w:val="fr-CA" w:bidi="en-US"/>
        </w:rPr>
        <w:t xml:space="preserve">11. </w:t>
      </w:r>
      <w:r w:rsidR="005C287C" w:rsidRPr="00CE70F3">
        <w:rPr>
          <w:rFonts w:eastAsia="Times New Roman" w:cs="Arial"/>
          <w:szCs w:val="24"/>
          <w:highlight w:val="yellow"/>
          <w:lang w:val="fr-CA" w:bidi="en-US"/>
        </w:rPr>
        <w:t xml:space="preserve">Un </w:t>
      </w:r>
      <w:r w:rsidR="00735C40" w:rsidRPr="00CE70F3">
        <w:rPr>
          <w:rFonts w:cs="Arial"/>
          <w:szCs w:val="24"/>
          <w:highlight w:val="yellow"/>
          <w:lang w:val="fr-CA"/>
        </w:rPr>
        <w:t>timbre de vapotage indicateur-CAN</w:t>
      </w:r>
      <w:r w:rsidR="004308EF" w:rsidRPr="00CE70F3">
        <w:rPr>
          <w:rFonts w:eastAsia="Times New Roman" w:cs="Arial"/>
          <w:szCs w:val="24"/>
          <w:highlight w:val="yellow"/>
          <w:lang w:val="fr-CA" w:bidi="en-US"/>
        </w:rPr>
        <w:t xml:space="preserve"> </w:t>
      </w:r>
      <w:r w:rsidR="009B2BAA" w:rsidRPr="00CE70F3">
        <w:rPr>
          <w:rFonts w:eastAsia="Times New Roman" w:cs="Arial"/>
          <w:szCs w:val="24"/>
          <w:highlight w:val="yellow"/>
          <w:lang w:val="fr-CA" w:bidi="en-US"/>
        </w:rPr>
        <w:t xml:space="preserve">est </w:t>
      </w:r>
      <w:r w:rsidR="005C287C" w:rsidRPr="00CE70F3">
        <w:rPr>
          <w:rFonts w:eastAsia="Times New Roman" w:cs="Arial"/>
          <w:szCs w:val="24"/>
          <w:highlight w:val="yellow"/>
          <w:lang w:val="fr-CA" w:bidi="en-US"/>
        </w:rPr>
        <w:t xml:space="preserve">requis pour les produits de vapotage qui ne sont pas destinés au </w:t>
      </w:r>
      <w:r w:rsidR="005C287C" w:rsidRPr="00CE70F3">
        <w:rPr>
          <w:highlight w:val="yellow"/>
          <w:lang w:val="fr-CA"/>
        </w:rPr>
        <w:t xml:space="preserve">marché canadien des marchandises </w:t>
      </w:r>
      <w:r w:rsidR="005C287C" w:rsidRPr="005915D1">
        <w:rPr>
          <w:highlight w:val="yellow"/>
          <w:lang w:val="fr-CA"/>
        </w:rPr>
        <w:t>acquittées de la province déterminée de vapotage</w:t>
      </w:r>
      <w:r w:rsidR="005C287C" w:rsidRPr="005915D1">
        <w:rPr>
          <w:rFonts w:eastAsia="Times New Roman" w:cs="Arial"/>
          <w:szCs w:val="24"/>
          <w:highlight w:val="yellow"/>
          <w:lang w:val="fr-CA" w:bidi="en-US"/>
        </w:rPr>
        <w:t xml:space="preserve"> (qui </w:t>
      </w:r>
      <w:r w:rsidR="005C287C" w:rsidRPr="005915D1">
        <w:rPr>
          <w:rFonts w:eastAsia="Times New Roman" w:cs="Arial"/>
          <w:szCs w:val="24"/>
          <w:highlight w:val="yellow"/>
          <w:lang w:val="fr-CA" w:bidi="en-US"/>
        </w:rPr>
        <w:lastRenderedPageBreak/>
        <w:t xml:space="preserve">ne sont pas destinés à la consommation, à l'utilisation ou à la vente aux consommateurs de la province </w:t>
      </w:r>
      <w:r w:rsidR="005C287C" w:rsidRPr="005915D1">
        <w:rPr>
          <w:highlight w:val="yellow"/>
          <w:lang w:val="fr-CA"/>
        </w:rPr>
        <w:t>déterminée de vapotage</w:t>
      </w:r>
      <w:r w:rsidR="005C287C" w:rsidRPr="005915D1">
        <w:rPr>
          <w:rFonts w:eastAsia="Times New Roman" w:cs="Arial"/>
          <w:szCs w:val="24"/>
          <w:highlight w:val="yellow"/>
          <w:lang w:val="fr-CA" w:bidi="en-US"/>
        </w:rPr>
        <w:t>), tandis qu</w:t>
      </w:r>
      <w:r w:rsidR="00966FD0">
        <w:rPr>
          <w:rFonts w:eastAsia="Times New Roman" w:cs="Arial"/>
          <w:szCs w:val="24"/>
          <w:highlight w:val="yellow"/>
          <w:lang w:val="fr-CA" w:bidi="en-US"/>
        </w:rPr>
        <w:t>’</w:t>
      </w:r>
      <w:r w:rsidR="005C287C" w:rsidRPr="005915D1">
        <w:rPr>
          <w:rFonts w:eastAsia="Times New Roman" w:cs="Arial"/>
          <w:szCs w:val="24"/>
          <w:highlight w:val="yellow"/>
          <w:lang w:val="fr-CA" w:bidi="en-US"/>
        </w:rPr>
        <w:t xml:space="preserve">un timbre d'accise de vapotage d'une province </w:t>
      </w:r>
      <w:r w:rsidR="005C287C" w:rsidRPr="005915D1">
        <w:rPr>
          <w:highlight w:val="yellow"/>
          <w:lang w:val="fr-CA"/>
        </w:rPr>
        <w:t>déterminée de vapotage</w:t>
      </w:r>
      <w:r w:rsidR="005C287C" w:rsidRPr="005915D1">
        <w:rPr>
          <w:rFonts w:eastAsia="Times New Roman" w:cs="Arial"/>
          <w:szCs w:val="24"/>
          <w:highlight w:val="yellow"/>
          <w:lang w:val="fr-CA" w:bidi="en-US"/>
        </w:rPr>
        <w:t xml:space="preserve"> </w:t>
      </w:r>
      <w:r w:rsidR="005C287C" w:rsidRPr="002B5F1E">
        <w:rPr>
          <w:rFonts w:eastAsia="Times New Roman" w:cs="Arial"/>
          <w:szCs w:val="24"/>
          <w:highlight w:val="yellow"/>
          <w:lang w:val="fr-CA" w:bidi="en-US"/>
        </w:rPr>
        <w:t>(timbre P</w:t>
      </w:r>
      <w:r w:rsidR="00F061BC" w:rsidRPr="002B5F1E">
        <w:rPr>
          <w:rFonts w:eastAsia="Times New Roman" w:cs="Arial"/>
          <w:szCs w:val="24"/>
          <w:highlight w:val="yellow"/>
          <w:lang w:val="fr-CA" w:bidi="en-US"/>
        </w:rPr>
        <w:t>rovince-</w:t>
      </w:r>
      <w:r w:rsidR="005C287C" w:rsidRPr="002B5F1E">
        <w:rPr>
          <w:rFonts w:eastAsia="Times New Roman" w:cs="Arial"/>
          <w:szCs w:val="24"/>
          <w:highlight w:val="yellow"/>
          <w:lang w:val="fr-CA" w:bidi="en-US"/>
        </w:rPr>
        <w:t>T</w:t>
      </w:r>
      <w:r w:rsidR="00F061BC" w:rsidRPr="002B5F1E">
        <w:rPr>
          <w:rFonts w:eastAsia="Times New Roman" w:cs="Arial"/>
          <w:szCs w:val="24"/>
          <w:highlight w:val="yellow"/>
          <w:lang w:val="fr-CA" w:bidi="en-US"/>
        </w:rPr>
        <w:t>erritoire</w:t>
      </w:r>
      <w:r w:rsidR="002B5F1E" w:rsidRPr="00CE70F3">
        <w:rPr>
          <w:rFonts w:eastAsia="Times New Roman" w:cs="Arial"/>
          <w:szCs w:val="24"/>
          <w:highlight w:val="yellow"/>
          <w:lang w:val="fr-CA" w:bidi="en-US"/>
        </w:rPr>
        <w:t>s</w:t>
      </w:r>
      <w:r w:rsidR="00F061BC" w:rsidRPr="00CE70F3">
        <w:rPr>
          <w:rFonts w:eastAsia="Times New Roman" w:cs="Arial"/>
          <w:szCs w:val="24"/>
          <w:highlight w:val="yellow"/>
          <w:lang w:val="fr-CA" w:bidi="en-US"/>
        </w:rPr>
        <w:t xml:space="preserve"> (PT</w:t>
      </w:r>
      <w:r w:rsidR="005C287C" w:rsidRPr="002B5F1E">
        <w:rPr>
          <w:rFonts w:eastAsia="Times New Roman" w:cs="Arial"/>
          <w:szCs w:val="24"/>
          <w:highlight w:val="yellow"/>
          <w:lang w:val="fr-CA" w:bidi="en-US"/>
        </w:rPr>
        <w:t>)</w:t>
      </w:r>
      <w:r w:rsidR="00D44E08" w:rsidRPr="002B5F1E">
        <w:rPr>
          <w:rFonts w:eastAsia="Times New Roman" w:cs="Arial"/>
          <w:szCs w:val="24"/>
          <w:highlight w:val="yellow"/>
          <w:lang w:val="fr-CA" w:bidi="en-US"/>
        </w:rPr>
        <w:t xml:space="preserve"> </w:t>
      </w:r>
      <w:r w:rsidR="00D44E08" w:rsidRPr="00CE70F3">
        <w:rPr>
          <w:rFonts w:eastAsia="Times New Roman" w:cs="Arial"/>
          <w:szCs w:val="24"/>
          <w:highlight w:val="yellow"/>
          <w:lang w:val="fr-CA" w:bidi="en-US"/>
        </w:rPr>
        <w:t>déterminé</w:t>
      </w:r>
      <w:r w:rsidR="002B5F1E" w:rsidRPr="00CE70F3">
        <w:rPr>
          <w:rFonts w:eastAsia="Times New Roman" w:cs="Arial"/>
          <w:szCs w:val="24"/>
          <w:highlight w:val="yellow"/>
          <w:lang w:val="fr-CA" w:bidi="en-US"/>
        </w:rPr>
        <w:t>s</w:t>
      </w:r>
      <w:r w:rsidR="00D7569C" w:rsidRPr="00CE70F3">
        <w:rPr>
          <w:rFonts w:eastAsia="Times New Roman" w:cs="Arial"/>
          <w:szCs w:val="24"/>
          <w:highlight w:val="yellow"/>
          <w:lang w:val="fr-CA" w:bidi="en-US"/>
        </w:rPr>
        <w:t>)</w:t>
      </w:r>
      <w:r w:rsidR="00D7569C" w:rsidRPr="002B5F1E">
        <w:rPr>
          <w:rFonts w:eastAsia="Times New Roman" w:cs="Arial"/>
          <w:szCs w:val="24"/>
          <w:highlight w:val="yellow"/>
          <w:lang w:val="fr-CA" w:bidi="en-US"/>
        </w:rPr>
        <w:t xml:space="preserve"> </w:t>
      </w:r>
      <w:r w:rsidR="005C287C" w:rsidRPr="005915D1">
        <w:rPr>
          <w:rFonts w:eastAsia="Times New Roman" w:cs="Arial"/>
          <w:szCs w:val="24"/>
          <w:highlight w:val="yellow"/>
          <w:lang w:val="fr-CA" w:bidi="en-US"/>
        </w:rPr>
        <w:t xml:space="preserve">est requis lorsque les produits de vapotage sont destinés au </w:t>
      </w:r>
      <w:r w:rsidR="005C287C" w:rsidRPr="005915D1">
        <w:rPr>
          <w:highlight w:val="yellow"/>
          <w:lang w:val="fr-CA"/>
        </w:rPr>
        <w:t xml:space="preserve">marché canadien des marchandises acquittées de la province déterminée de vapotage </w:t>
      </w:r>
      <w:r w:rsidR="005C287C" w:rsidRPr="005915D1">
        <w:rPr>
          <w:rFonts w:eastAsia="Times New Roman" w:cs="Arial"/>
          <w:szCs w:val="24"/>
          <w:highlight w:val="yellow"/>
          <w:lang w:val="fr-CA" w:bidi="en-US"/>
        </w:rPr>
        <w:t>(</w:t>
      </w:r>
      <w:r w:rsidR="00966FD0">
        <w:rPr>
          <w:rFonts w:eastAsia="Times New Roman" w:cs="Arial"/>
          <w:szCs w:val="24"/>
          <w:highlight w:val="yellow"/>
          <w:lang w:val="fr-CA" w:bidi="en-US"/>
        </w:rPr>
        <w:t xml:space="preserve">qui </w:t>
      </w:r>
      <w:r w:rsidR="005C287C" w:rsidRPr="005915D1">
        <w:rPr>
          <w:rFonts w:eastAsia="Times New Roman" w:cs="Arial"/>
          <w:szCs w:val="24"/>
          <w:highlight w:val="yellow"/>
          <w:lang w:val="fr-CA" w:bidi="en-US"/>
        </w:rPr>
        <w:t xml:space="preserve">sont destinés à la consommation, à l'utilisation ou à la vente aux consommateurs de la province </w:t>
      </w:r>
      <w:r w:rsidR="005C287C" w:rsidRPr="005915D1">
        <w:rPr>
          <w:highlight w:val="yellow"/>
          <w:lang w:val="fr-CA"/>
        </w:rPr>
        <w:t>déterminée de vapotage</w:t>
      </w:r>
      <w:r w:rsidR="005C287C" w:rsidRPr="005915D1">
        <w:rPr>
          <w:rFonts w:eastAsia="Times New Roman" w:cs="Arial"/>
          <w:szCs w:val="24"/>
          <w:highlight w:val="yellow"/>
          <w:lang w:val="fr-CA" w:bidi="en-US"/>
        </w:rPr>
        <w:t xml:space="preserve">). Les produits de vapotage emballés mais non estampillés pourraient être importés par un titulaire de licence de produit de vapotage à des fins d'estampillage au Canada.     </w:t>
      </w:r>
    </w:p>
    <w:p w14:paraId="1A015108" w14:textId="255243D9" w:rsidR="00A5798F" w:rsidRPr="008E3B8A" w:rsidRDefault="00FF14DB" w:rsidP="00CE70F3">
      <w:pPr>
        <w:widowControl w:val="0"/>
        <w:tabs>
          <w:tab w:val="left" w:pos="530"/>
        </w:tabs>
        <w:autoSpaceDE w:val="0"/>
        <w:autoSpaceDN w:val="0"/>
        <w:ind w:right="1145"/>
        <w:rPr>
          <w:rFonts w:eastAsia="Times New Roman" w:cs="Arial"/>
          <w:szCs w:val="24"/>
          <w:highlight w:val="yellow"/>
          <w:lang w:val="fr-CA" w:bidi="en-US"/>
        </w:rPr>
      </w:pPr>
      <w:r>
        <w:rPr>
          <w:rFonts w:eastAsia="Times New Roman" w:cs="Arial"/>
          <w:szCs w:val="24"/>
          <w:highlight w:val="yellow"/>
          <w:lang w:val="fr-CA" w:bidi="en-US"/>
        </w:rPr>
        <w:t>12</w:t>
      </w:r>
      <w:r w:rsidR="00A5798F" w:rsidRPr="008E3B8A">
        <w:rPr>
          <w:rFonts w:eastAsia="Times New Roman" w:cs="Arial"/>
          <w:szCs w:val="24"/>
          <w:highlight w:val="yellow"/>
          <w:lang w:val="fr-CA" w:bidi="en-US"/>
        </w:rPr>
        <w:t>. Les gouvernements de l'Ontario, du Québec, des Territoires du Nord-Ouest et du Nunavut ont convenu de se jo</w:t>
      </w:r>
      <w:r w:rsidR="00A5798F" w:rsidRPr="004A46A0">
        <w:rPr>
          <w:rFonts w:eastAsia="Times New Roman" w:cs="Arial"/>
          <w:szCs w:val="24"/>
          <w:highlight w:val="yellow"/>
          <w:lang w:val="fr-CA" w:bidi="en-US"/>
        </w:rPr>
        <w:t xml:space="preserve">indre au cadre coordonné en vertu duquel un droit additionnel </w:t>
      </w:r>
      <w:r w:rsidR="00027BB4" w:rsidRPr="00CE70F3">
        <w:rPr>
          <w:rFonts w:eastAsia="Times New Roman" w:cs="Arial"/>
          <w:szCs w:val="24"/>
          <w:highlight w:val="yellow"/>
          <w:lang w:val="fr-CA" w:bidi="en-US"/>
        </w:rPr>
        <w:t>sur le</w:t>
      </w:r>
      <w:r w:rsidR="00B072EA" w:rsidRPr="004A46A0">
        <w:rPr>
          <w:rFonts w:eastAsia="Times New Roman" w:cs="Arial"/>
          <w:szCs w:val="24"/>
          <w:highlight w:val="yellow"/>
          <w:lang w:val="fr-CA" w:bidi="en-US"/>
        </w:rPr>
        <w:t xml:space="preserve"> vapotage </w:t>
      </w:r>
      <w:r w:rsidR="00A5798F" w:rsidRPr="004A46A0">
        <w:rPr>
          <w:rFonts w:eastAsia="Times New Roman" w:cs="Arial"/>
          <w:szCs w:val="24"/>
          <w:highlight w:val="yellow"/>
          <w:lang w:val="fr-CA" w:bidi="en-US"/>
        </w:rPr>
        <w:t xml:space="preserve">égal au taux </w:t>
      </w:r>
      <w:r w:rsidR="00A5798F" w:rsidRPr="008E3B8A">
        <w:rPr>
          <w:rFonts w:eastAsia="Times New Roman" w:cs="Arial"/>
          <w:szCs w:val="24"/>
          <w:highlight w:val="yellow"/>
          <w:lang w:val="fr-CA" w:bidi="en-US"/>
        </w:rPr>
        <w:t xml:space="preserve">fédéral est appliqué aux produits de vapotage destinés à la consommation, à l'utilisation ou à la vente aux consommateurs, dans la province </w:t>
      </w:r>
      <w:r w:rsidR="00A5798F">
        <w:rPr>
          <w:highlight w:val="yellow"/>
          <w:lang w:val="fr-CA"/>
        </w:rPr>
        <w:t>détermin</w:t>
      </w:r>
      <w:r w:rsidR="00A5798F" w:rsidRPr="00C11072">
        <w:rPr>
          <w:highlight w:val="yellow"/>
          <w:lang w:val="fr-CA"/>
        </w:rPr>
        <w:t>ée</w:t>
      </w:r>
      <w:r w:rsidR="00A5798F" w:rsidRPr="008E3B8A">
        <w:rPr>
          <w:rFonts w:eastAsia="Times New Roman" w:cs="Arial"/>
          <w:szCs w:val="24"/>
          <w:highlight w:val="yellow"/>
          <w:lang w:val="fr-CA" w:bidi="en-US"/>
        </w:rPr>
        <w:t xml:space="preserve"> </w:t>
      </w:r>
      <w:r w:rsidR="00A5798F">
        <w:rPr>
          <w:rFonts w:eastAsia="Times New Roman" w:cs="Arial"/>
          <w:szCs w:val="24"/>
          <w:highlight w:val="yellow"/>
          <w:lang w:val="fr-CA" w:bidi="en-US"/>
        </w:rPr>
        <w:t>de vapotage</w:t>
      </w:r>
      <w:r w:rsidR="00A5798F" w:rsidRPr="008E3B8A">
        <w:rPr>
          <w:rFonts w:eastAsia="Times New Roman" w:cs="Arial"/>
          <w:szCs w:val="24"/>
          <w:highlight w:val="yellow"/>
          <w:lang w:val="fr-CA" w:bidi="en-US"/>
        </w:rPr>
        <w:t xml:space="preserve">. </w:t>
      </w:r>
      <w:r w:rsidR="00A5798F" w:rsidRPr="00B74DE1">
        <w:rPr>
          <w:rFonts w:eastAsia="Times New Roman" w:cs="Arial"/>
          <w:szCs w:val="24"/>
          <w:highlight w:val="yellow"/>
          <w:lang w:val="fr-CA" w:bidi="en-US"/>
        </w:rPr>
        <w:t xml:space="preserve">Par exemple, le </w:t>
      </w:r>
      <w:r w:rsidR="00A5798F" w:rsidRPr="004A46A0">
        <w:rPr>
          <w:rFonts w:eastAsia="Times New Roman" w:cs="Arial"/>
          <w:szCs w:val="24"/>
          <w:highlight w:val="yellow"/>
          <w:lang w:val="fr-CA" w:bidi="en-US"/>
        </w:rPr>
        <w:t xml:space="preserve">droit additionnel </w:t>
      </w:r>
      <w:r w:rsidR="006B3B34" w:rsidRPr="00CE70F3">
        <w:rPr>
          <w:rFonts w:eastAsia="Times New Roman" w:cs="Arial"/>
          <w:szCs w:val="24"/>
          <w:highlight w:val="yellow"/>
          <w:lang w:val="fr-CA" w:bidi="en-US"/>
        </w:rPr>
        <w:t>sur le</w:t>
      </w:r>
      <w:r w:rsidR="00221545" w:rsidRPr="004A46A0">
        <w:rPr>
          <w:rFonts w:eastAsia="Times New Roman" w:cs="Arial"/>
          <w:szCs w:val="24"/>
          <w:highlight w:val="yellow"/>
          <w:lang w:val="fr-CA" w:bidi="en-US"/>
        </w:rPr>
        <w:t xml:space="preserve"> vapotage </w:t>
      </w:r>
      <w:r w:rsidR="00A5798F" w:rsidRPr="00B74DE1">
        <w:rPr>
          <w:rFonts w:eastAsia="Times New Roman" w:cs="Arial"/>
          <w:szCs w:val="24"/>
          <w:highlight w:val="yellow"/>
          <w:lang w:val="fr-CA" w:bidi="en-US"/>
        </w:rPr>
        <w:t xml:space="preserve">s'appliquerait si les produits de vapotage sont importés au Manitoba mais sont destinés à la consommation, à l'utilisation ou à la vente à des consommateurs de l'Ontario. </w:t>
      </w:r>
    </w:p>
    <w:p w14:paraId="44E101F3" w14:textId="6EC73BB9" w:rsidR="000038FA" w:rsidRDefault="005F2890" w:rsidP="005F2890">
      <w:pPr>
        <w:rPr>
          <w:lang w:val="fr-CA"/>
        </w:rPr>
      </w:pPr>
      <w:r w:rsidRPr="005F2890">
        <w:rPr>
          <w:lang w:val="fr-CA"/>
        </w:rPr>
        <w:t>1</w:t>
      </w:r>
      <w:r w:rsidR="00FF14DB">
        <w:rPr>
          <w:lang w:val="fr-CA"/>
        </w:rPr>
        <w:t>3</w:t>
      </w:r>
      <w:r w:rsidRPr="005F2890">
        <w:rPr>
          <w:lang w:val="fr-CA"/>
        </w:rPr>
        <w:t xml:space="preserve">. Un schéma représentant comment le cadre des droits d’accise s’applique à l’importation des produits de vapotage se </w:t>
      </w:r>
      <w:r w:rsidRPr="00366DFB">
        <w:rPr>
          <w:lang w:val="fr-CA"/>
        </w:rPr>
        <w:t xml:space="preserve">trouve à </w:t>
      </w:r>
      <w:r w:rsidRPr="009868C2">
        <w:rPr>
          <w:lang w:val="fr-CA"/>
        </w:rPr>
        <w:t xml:space="preserve">l’annexe </w:t>
      </w:r>
      <w:r w:rsidR="00284ADF" w:rsidRPr="009868C2">
        <w:rPr>
          <w:lang w:val="fr-CA"/>
        </w:rPr>
        <w:t xml:space="preserve">C </w:t>
      </w:r>
      <w:r w:rsidRPr="009868C2">
        <w:rPr>
          <w:lang w:val="fr-CA"/>
        </w:rPr>
        <w:t>de ce</w:t>
      </w:r>
      <w:r w:rsidRPr="005F2890">
        <w:rPr>
          <w:lang w:val="fr-CA"/>
        </w:rPr>
        <w:t xml:space="preserve"> mémorandum.</w:t>
      </w:r>
    </w:p>
    <w:p w14:paraId="6392AC21" w14:textId="5C876AAE" w:rsidR="00E60BCE" w:rsidRPr="00447EBA" w:rsidRDefault="008F7628" w:rsidP="007D6D16">
      <w:pPr>
        <w:pStyle w:val="Heading3"/>
      </w:pPr>
      <w:bookmarkStart w:id="15" w:name="SH05"/>
      <w:r w:rsidRPr="00447EBA">
        <w:t>Licences — exigences</w:t>
      </w:r>
      <w:bookmarkEnd w:id="15"/>
      <w:r w:rsidR="00E60BCE" w:rsidRPr="00447EBA">
        <w:t xml:space="preserve"> </w:t>
      </w:r>
    </w:p>
    <w:p w14:paraId="4E54FF95" w14:textId="20B10D9F" w:rsidR="00472C67" w:rsidRPr="00CE70F3" w:rsidRDefault="00472C67" w:rsidP="00CE70F3">
      <w:pPr>
        <w:rPr>
          <w:b/>
          <w:lang w:val="fr-CA"/>
        </w:rPr>
      </w:pPr>
      <w:bookmarkStart w:id="16" w:name="SSH01"/>
      <w:r w:rsidRPr="00CE70F3">
        <w:rPr>
          <w:b/>
          <w:lang w:val="fr-CA"/>
        </w:rPr>
        <w:t>Licence de produits de vapotage</w:t>
      </w:r>
      <w:bookmarkEnd w:id="16"/>
    </w:p>
    <w:p w14:paraId="2DDDCA27" w14:textId="2A464DC7" w:rsidR="00472C67" w:rsidRPr="00472C67" w:rsidRDefault="00472C67" w:rsidP="00472C67">
      <w:pPr>
        <w:rPr>
          <w:lang w:val="fr-CA"/>
        </w:rPr>
      </w:pPr>
      <w:r w:rsidRPr="00472C67">
        <w:rPr>
          <w:lang w:val="fr-CA"/>
        </w:rPr>
        <w:t>1</w:t>
      </w:r>
      <w:r w:rsidR="006F021B">
        <w:rPr>
          <w:lang w:val="fr-CA"/>
        </w:rPr>
        <w:t>4</w:t>
      </w:r>
      <w:r w:rsidRPr="00472C67">
        <w:rPr>
          <w:lang w:val="fr-CA"/>
        </w:rPr>
        <w:t xml:space="preserve">. </w:t>
      </w:r>
      <w:r w:rsidR="009177C1" w:rsidRPr="009177C1">
        <w:rPr>
          <w:lang w:val="fr-CA"/>
        </w:rPr>
        <w:t xml:space="preserve">Une personne est tenue d’obtenir auprès de l’ARC une licence de produits de vapotage aux termes de l’alinéa 14(1)(f) de la </w:t>
      </w:r>
      <w:r w:rsidR="009177C1" w:rsidRPr="007B40A9">
        <w:rPr>
          <w:i/>
          <w:lang w:val="fr-CA"/>
        </w:rPr>
        <w:t>Loi de 2001 sur l’accise</w:t>
      </w:r>
      <w:r w:rsidR="009177C1" w:rsidRPr="009177C1">
        <w:rPr>
          <w:lang w:val="fr-CA"/>
        </w:rPr>
        <w:t xml:space="preserve"> si elle fabrique des produits de vapotage au Canada ou importe des produits de vapotage emballés pour estampillage. Cette licence permet aussi à un titulaire de licence de produits de vapotage d’importer des produits de vapotage non acquittés au Canada pour fabrication </w:t>
      </w:r>
      <w:r w:rsidR="009177C1" w:rsidRPr="001D71B7">
        <w:rPr>
          <w:lang w:val="fr-CA"/>
        </w:rPr>
        <w:t xml:space="preserve">ultérieure, </w:t>
      </w:r>
      <w:r w:rsidR="00207CF6" w:rsidRPr="001D71B7">
        <w:rPr>
          <w:lang w:val="fr-CA"/>
        </w:rPr>
        <w:t xml:space="preserve">estampillage, </w:t>
      </w:r>
      <w:r w:rsidR="009177C1" w:rsidRPr="001D71B7">
        <w:rPr>
          <w:lang w:val="fr-CA"/>
        </w:rPr>
        <w:t>pour être</w:t>
      </w:r>
      <w:r w:rsidR="009177C1" w:rsidRPr="009177C1">
        <w:rPr>
          <w:lang w:val="fr-CA"/>
        </w:rPr>
        <w:t xml:space="preserve"> f</w:t>
      </w:r>
      <w:r w:rsidR="008E347F">
        <w:rPr>
          <w:lang w:val="fr-CA"/>
        </w:rPr>
        <w:t>açonnés de nouveau ou détruits.</w:t>
      </w:r>
    </w:p>
    <w:p w14:paraId="2A45138B" w14:textId="484EABB0" w:rsidR="00472C67" w:rsidRPr="00472C67" w:rsidRDefault="00472C67" w:rsidP="00472C67">
      <w:pPr>
        <w:rPr>
          <w:lang w:val="fr-CA"/>
        </w:rPr>
      </w:pPr>
      <w:r w:rsidRPr="00472C67">
        <w:rPr>
          <w:lang w:val="fr-CA"/>
        </w:rPr>
        <w:t>1</w:t>
      </w:r>
      <w:r w:rsidR="006F021B">
        <w:rPr>
          <w:lang w:val="fr-CA"/>
        </w:rPr>
        <w:t>5</w:t>
      </w:r>
      <w:r w:rsidRPr="00472C67">
        <w:rPr>
          <w:lang w:val="fr-CA"/>
        </w:rPr>
        <w:t>. Lorsque les critères d’admissibilité sont rencontrés, l’ARC enverra une lettre à la personne qui a présenté la demande pour confirmer l’approbation de la demande de licence de produits de vapotage et l’informera de son nouveau numéro de compte du programme des droits d’accise.</w:t>
      </w:r>
    </w:p>
    <w:p w14:paraId="5ADFF1A1" w14:textId="4BE070B5" w:rsidR="000038FA" w:rsidRDefault="006F021B" w:rsidP="00472C67">
      <w:pPr>
        <w:rPr>
          <w:lang w:val="fr-CA"/>
        </w:rPr>
      </w:pPr>
      <w:r>
        <w:rPr>
          <w:lang w:val="fr-CA"/>
        </w:rPr>
        <w:t>16</w:t>
      </w:r>
      <w:r w:rsidR="00472C67" w:rsidRPr="00472C67">
        <w:rPr>
          <w:lang w:val="fr-CA"/>
        </w:rPr>
        <w:t>. Pour plus de renseignements, consultez l’</w:t>
      </w:r>
      <w:r w:rsidR="00472C67" w:rsidRPr="00AB0051">
        <w:rPr>
          <w:i/>
          <w:lang w:val="fr-CA"/>
        </w:rPr>
        <w:t>avis sur les droits d’accise</w:t>
      </w:r>
      <w:r w:rsidR="00472C67" w:rsidRPr="00472C67">
        <w:rPr>
          <w:lang w:val="fr-CA"/>
        </w:rPr>
        <w:t xml:space="preserve"> </w:t>
      </w:r>
      <w:r w:rsidR="00472C67" w:rsidRPr="005651ED">
        <w:rPr>
          <w:i/>
          <w:lang w:val="fr-CA"/>
        </w:rPr>
        <w:t>EDN79 Obtention et renouvellement d’une licence de produits de vapotage</w:t>
      </w:r>
      <w:r w:rsidR="00472C67" w:rsidRPr="00472C67">
        <w:rPr>
          <w:lang w:val="fr-CA"/>
        </w:rPr>
        <w:t xml:space="preserve">, au lien se trouvant dans la section </w:t>
      </w:r>
      <w:hyperlink w:anchor="Lienscommexes" w:history="1">
        <w:r w:rsidR="00002AD2" w:rsidRPr="005651ED">
          <w:rPr>
            <w:rStyle w:val="Hyperlink"/>
            <w:color w:val="auto"/>
            <w:u w:val="none"/>
            <w:lang w:val="fr-CA"/>
          </w:rPr>
          <w:t>Liens connexes</w:t>
        </w:r>
      </w:hyperlink>
      <w:r w:rsidR="00472C67" w:rsidRPr="00472C67">
        <w:rPr>
          <w:lang w:val="fr-CA"/>
        </w:rPr>
        <w:t xml:space="preserve"> de ce mémorandum.</w:t>
      </w:r>
    </w:p>
    <w:p w14:paraId="7C37B3A0" w14:textId="77777777" w:rsidR="005E6BB9" w:rsidRPr="00CE70F3" w:rsidRDefault="005E6BB9" w:rsidP="00CE70F3">
      <w:pPr>
        <w:rPr>
          <w:b/>
          <w:lang w:val="fr-CA"/>
        </w:rPr>
      </w:pPr>
      <w:bookmarkStart w:id="17" w:name="SSH02"/>
      <w:r w:rsidRPr="00CE70F3">
        <w:rPr>
          <w:b/>
          <w:lang w:val="fr-CA"/>
        </w:rPr>
        <w:t>Licence de produits de vapotage - exceptions</w:t>
      </w:r>
      <w:bookmarkEnd w:id="17"/>
    </w:p>
    <w:p w14:paraId="7FF3036C" w14:textId="62B4961B" w:rsidR="005E6BB9" w:rsidRPr="005E6BB9" w:rsidRDefault="006F021B" w:rsidP="005E6BB9">
      <w:pPr>
        <w:rPr>
          <w:lang w:val="fr-CA"/>
        </w:rPr>
      </w:pPr>
      <w:r>
        <w:rPr>
          <w:lang w:val="fr-CA"/>
        </w:rPr>
        <w:t>17</w:t>
      </w:r>
      <w:r w:rsidR="005E6BB9" w:rsidRPr="005E6BB9">
        <w:rPr>
          <w:lang w:val="fr-CA"/>
        </w:rPr>
        <w:t>.</w:t>
      </w:r>
      <w:r w:rsidR="005E6BB9">
        <w:rPr>
          <w:lang w:val="fr-CA"/>
        </w:rPr>
        <w:t xml:space="preserve"> </w:t>
      </w:r>
      <w:r w:rsidR="005E6BB9" w:rsidRPr="005E6BB9">
        <w:rPr>
          <w:lang w:val="fr-CA"/>
        </w:rPr>
        <w:t xml:space="preserve">Une personne n’est pas tenue d’obtenir une licence de produits de vapotage en vertu de la </w:t>
      </w:r>
      <w:r w:rsidR="005E6BB9" w:rsidRPr="007B40A9">
        <w:rPr>
          <w:i/>
          <w:lang w:val="fr-CA"/>
        </w:rPr>
        <w:t xml:space="preserve">Loi de 2001 sur l’accise </w:t>
      </w:r>
      <w:r w:rsidR="005E6BB9" w:rsidRPr="005E6BB9">
        <w:rPr>
          <w:lang w:val="fr-CA"/>
        </w:rPr>
        <w:t>si elle</w:t>
      </w:r>
      <w:r w:rsidR="00AA50F0">
        <w:rPr>
          <w:lang w:val="fr-CA"/>
        </w:rPr>
        <w:t> :</w:t>
      </w:r>
      <w:r w:rsidR="005E6BB9" w:rsidRPr="005E6BB9">
        <w:rPr>
          <w:lang w:val="fr-CA"/>
        </w:rPr>
        <w:t xml:space="preserve"> </w:t>
      </w:r>
    </w:p>
    <w:p w14:paraId="28D741A5" w14:textId="32294B33" w:rsidR="005E6BB9" w:rsidRPr="005E6BB9" w:rsidRDefault="008E347F" w:rsidP="007B40A9">
      <w:pPr>
        <w:ind w:left="284"/>
        <w:rPr>
          <w:lang w:val="fr-CA"/>
        </w:rPr>
      </w:pPr>
      <w:r>
        <w:rPr>
          <w:lang w:val="fr-CA"/>
        </w:rPr>
        <w:t xml:space="preserve">a) </w:t>
      </w:r>
      <w:r w:rsidR="005E6BB9" w:rsidRPr="005E6BB9">
        <w:rPr>
          <w:lang w:val="fr-CA"/>
        </w:rPr>
        <w:t>ne fabrique pas des produits de vapotage au Canada</w:t>
      </w:r>
    </w:p>
    <w:p w14:paraId="64FE10B6" w14:textId="69B589F0" w:rsidR="005E6BB9" w:rsidRPr="005E6BB9" w:rsidRDefault="008E347F" w:rsidP="007B40A9">
      <w:pPr>
        <w:ind w:left="284"/>
        <w:rPr>
          <w:lang w:val="fr-CA"/>
        </w:rPr>
      </w:pPr>
      <w:r>
        <w:rPr>
          <w:lang w:val="fr-CA"/>
        </w:rPr>
        <w:t xml:space="preserve">b) </w:t>
      </w:r>
      <w:r w:rsidR="005E6BB9" w:rsidRPr="005E6BB9">
        <w:rPr>
          <w:lang w:val="fr-CA"/>
        </w:rPr>
        <w:t>n’importe pas des produits de vapotage emballés pour estampillage</w:t>
      </w:r>
    </w:p>
    <w:p w14:paraId="01D3F1AF" w14:textId="712A4827" w:rsidR="005E6BB9" w:rsidRPr="005E6BB9" w:rsidRDefault="008E347F" w:rsidP="007B40A9">
      <w:pPr>
        <w:ind w:left="284"/>
        <w:rPr>
          <w:lang w:val="fr-CA"/>
        </w:rPr>
      </w:pPr>
      <w:r>
        <w:rPr>
          <w:lang w:val="fr-CA"/>
        </w:rPr>
        <w:t xml:space="preserve">c) </w:t>
      </w:r>
      <w:r w:rsidR="005E6BB9" w:rsidRPr="005E6BB9">
        <w:rPr>
          <w:lang w:val="fr-CA"/>
        </w:rPr>
        <w:t xml:space="preserve">importe des produits de vapotage uniquement pour son usage personnel en quantités ne dépassant pas la limite prescrite de 5 unités aux termes de la sous-section 5.01 du </w:t>
      </w:r>
      <w:r w:rsidR="005E6BB9" w:rsidRPr="008B1E58">
        <w:rPr>
          <w:i/>
          <w:lang w:val="fr-CA"/>
        </w:rPr>
        <w:t>Règlement sur l’estampillage et le marquage des produits du tabac, du cannabis et de vapotage</w:t>
      </w:r>
    </w:p>
    <w:p w14:paraId="3AEB78B4" w14:textId="7CC8033E" w:rsidR="005E6BB9" w:rsidRPr="005E6BB9" w:rsidRDefault="008E347F" w:rsidP="007B40A9">
      <w:pPr>
        <w:ind w:left="284"/>
        <w:rPr>
          <w:lang w:val="fr-CA"/>
        </w:rPr>
      </w:pPr>
      <w:r>
        <w:rPr>
          <w:lang w:val="fr-CA"/>
        </w:rPr>
        <w:t xml:space="preserve">d) </w:t>
      </w:r>
      <w:r w:rsidR="005E6BB9" w:rsidRPr="005E6BB9">
        <w:rPr>
          <w:lang w:val="fr-CA"/>
        </w:rPr>
        <w:t>importe au Canada seulement des produits de vapotage emballés et estampillés (c.-à.</w:t>
      </w:r>
      <w:r w:rsidR="00842943">
        <w:rPr>
          <w:lang w:val="fr-CA"/>
        </w:rPr>
        <w:t>-</w:t>
      </w:r>
      <w:r w:rsidR="005E6BB9" w:rsidRPr="005E6BB9">
        <w:rPr>
          <w:lang w:val="fr-CA"/>
        </w:rPr>
        <w:t>d., la personne ne fabrique pas de produits de vapotage au Canada). Dans ce cas, la personne doit présenter une demande auprès de l’ARC pour être une personne visée par règlement relativement aux produits de vapotage afin d’obtenir des timbres d’accise pour le vapotage (voir ci-dessous)</w:t>
      </w:r>
    </w:p>
    <w:p w14:paraId="768258B9" w14:textId="502196BC" w:rsidR="005E6BB9" w:rsidRPr="005E6BB9" w:rsidRDefault="005E6BB9" w:rsidP="005E6BB9">
      <w:pPr>
        <w:rPr>
          <w:lang w:val="fr-CA"/>
        </w:rPr>
      </w:pPr>
      <w:r w:rsidRPr="005E6BB9">
        <w:rPr>
          <w:lang w:val="fr-CA"/>
        </w:rPr>
        <w:t>1</w:t>
      </w:r>
      <w:r w:rsidR="009F4CEF">
        <w:rPr>
          <w:lang w:val="fr-CA"/>
        </w:rPr>
        <w:t>8</w:t>
      </w:r>
      <w:r>
        <w:rPr>
          <w:lang w:val="fr-CA"/>
        </w:rPr>
        <w:t xml:space="preserve">. </w:t>
      </w:r>
      <w:r w:rsidRPr="005E6BB9">
        <w:rPr>
          <w:lang w:val="fr-CA"/>
        </w:rPr>
        <w:t>Une licence de produits de vapotage n’est pas requise si la personne ne fait strictement que manipuler ou vendre des produits estampillés. Être une personne visée par règlement relativement aux produit</w:t>
      </w:r>
      <w:r w:rsidR="00AC2410">
        <w:rPr>
          <w:lang w:val="fr-CA"/>
        </w:rPr>
        <w:t>s de vapotage peut être requis.</w:t>
      </w:r>
    </w:p>
    <w:p w14:paraId="4ABE96EE" w14:textId="71E3EDC4" w:rsidR="005E6BB9" w:rsidRDefault="005E6BB9" w:rsidP="005E6BB9">
      <w:pPr>
        <w:rPr>
          <w:lang w:val="fr-CA"/>
        </w:rPr>
      </w:pPr>
      <w:r w:rsidRPr="005E6BB9">
        <w:rPr>
          <w:lang w:val="fr-CA"/>
        </w:rPr>
        <w:t>1</w:t>
      </w:r>
      <w:r w:rsidR="009F4CEF">
        <w:rPr>
          <w:lang w:val="fr-CA"/>
        </w:rPr>
        <w:t>9</w:t>
      </w:r>
      <w:r>
        <w:rPr>
          <w:lang w:val="fr-CA"/>
        </w:rPr>
        <w:t xml:space="preserve">. </w:t>
      </w:r>
      <w:r w:rsidRPr="005E6BB9">
        <w:rPr>
          <w:lang w:val="fr-CA"/>
        </w:rPr>
        <w:t xml:space="preserve">Une licence de produits de vapotage n’est pas requise si la personne ne fait strictement que transporter des produits de vapotage pour le compte d’un titulaire de licence de produits de vapotage, d’un titulaire de licence d’entrepôt d’accise ou d’un représentant accrédité, conformément à la </w:t>
      </w:r>
      <w:r w:rsidRPr="00874893">
        <w:rPr>
          <w:i/>
          <w:lang w:val="fr-CA"/>
        </w:rPr>
        <w:t>Loi de 2001 sur l’accise</w:t>
      </w:r>
      <w:r w:rsidRPr="005E6BB9">
        <w:rPr>
          <w:lang w:val="fr-CA"/>
        </w:rPr>
        <w:t>.</w:t>
      </w:r>
    </w:p>
    <w:p w14:paraId="6FD3514F" w14:textId="34CBAD9E" w:rsidR="00D35D55" w:rsidRPr="00CE70F3" w:rsidRDefault="00D35D55" w:rsidP="00CE70F3">
      <w:pPr>
        <w:rPr>
          <w:b/>
          <w:lang w:val="fr-CA"/>
        </w:rPr>
      </w:pPr>
      <w:bookmarkStart w:id="18" w:name="SSH03"/>
      <w:r w:rsidRPr="00CE70F3">
        <w:rPr>
          <w:b/>
          <w:lang w:val="fr-CA"/>
        </w:rPr>
        <w:t>Agrément d’exploitant d’entrepôt d’accise</w:t>
      </w:r>
      <w:bookmarkEnd w:id="18"/>
    </w:p>
    <w:p w14:paraId="7214F6CE" w14:textId="6E4E81B0" w:rsidR="000038FA" w:rsidRDefault="009F4CEF" w:rsidP="004E5DAA">
      <w:pPr>
        <w:rPr>
          <w:lang w:val="fr-CA"/>
        </w:rPr>
      </w:pPr>
      <w:r>
        <w:rPr>
          <w:lang w:val="fr-CA"/>
        </w:rPr>
        <w:t>20</w:t>
      </w:r>
      <w:r w:rsidR="00D35D55" w:rsidRPr="00D35D55">
        <w:rPr>
          <w:lang w:val="fr-CA"/>
        </w:rPr>
        <w:t xml:space="preserve">. Un titulaire de licence de produits de vapotage qui fabrique et importe des produits de vapotage au Canada aux fins d’exportation ou de vente à un représentant accrédité </w:t>
      </w:r>
      <w:r w:rsidR="00EC5AA1" w:rsidRPr="00EC5AA1">
        <w:rPr>
          <w:lang w:val="fr-CA"/>
        </w:rPr>
        <w:t xml:space="preserve">(c.-à.-d., les produits de vapotage non destinés au marché canadien des marchandises acquittées) doit aussi détenir un agrément d’exploitant d’entrepôt d’accise. Aux termes de la </w:t>
      </w:r>
      <w:r w:rsidR="00EC5AA1" w:rsidRPr="00874893">
        <w:rPr>
          <w:i/>
          <w:lang w:val="fr-CA"/>
        </w:rPr>
        <w:t>Loi de 2001 sur l’accise</w:t>
      </w:r>
      <w:r w:rsidR="00EC5AA1" w:rsidRPr="00EC5AA1">
        <w:rPr>
          <w:lang w:val="fr-CA"/>
        </w:rPr>
        <w:t xml:space="preserve">, les produits de vapotage destinés à l’exportation ou à la vente à un représentant accrédité qui sont emballés mais non estampillés doivent aussitôt être marqués aves les marquages prescrits et déposés dans l’entrepôt d’accise du titulaire de l’agrément d’exploitant d’entrepôt d’accise. Pour plus de renseignements, consultez </w:t>
      </w:r>
      <w:r w:rsidR="00EC5AA1" w:rsidRPr="00AB0051">
        <w:rPr>
          <w:i/>
          <w:lang w:val="fr-CA"/>
        </w:rPr>
        <w:t xml:space="preserve">l’avis sur </w:t>
      </w:r>
      <w:r w:rsidR="00EC5AA1" w:rsidRPr="00AB0051">
        <w:rPr>
          <w:i/>
          <w:lang w:val="fr-CA"/>
        </w:rPr>
        <w:lastRenderedPageBreak/>
        <w:t>les droits d’accise</w:t>
      </w:r>
      <w:r w:rsidR="00EC5AA1" w:rsidRPr="00EC5AA1">
        <w:rPr>
          <w:lang w:val="fr-CA"/>
        </w:rPr>
        <w:t xml:space="preserve"> </w:t>
      </w:r>
      <w:r w:rsidR="00EC5AA1" w:rsidRPr="005651ED">
        <w:rPr>
          <w:i/>
          <w:lang w:val="fr-CA"/>
        </w:rPr>
        <w:t>EDN79, Obtention et renouvellement d’une licence de produits de vapotage</w:t>
      </w:r>
      <w:r w:rsidR="00EC5AA1" w:rsidRPr="00EC5AA1">
        <w:rPr>
          <w:lang w:val="fr-CA"/>
        </w:rPr>
        <w:t xml:space="preserve">, au lien se trouvant dans la section </w:t>
      </w:r>
      <w:hyperlink w:anchor="Lienscommexes" w:history="1">
        <w:r w:rsidR="00E35D22" w:rsidRPr="005651ED">
          <w:rPr>
            <w:rStyle w:val="Hyperlink"/>
            <w:color w:val="auto"/>
            <w:u w:val="none"/>
            <w:lang w:val="fr-CA"/>
          </w:rPr>
          <w:t>Liens connexes</w:t>
        </w:r>
      </w:hyperlink>
      <w:r w:rsidR="00EC5AA1" w:rsidRPr="00EC5AA1">
        <w:rPr>
          <w:lang w:val="fr-CA"/>
        </w:rPr>
        <w:t xml:space="preserve"> de ce mémorandum.</w:t>
      </w:r>
    </w:p>
    <w:p w14:paraId="771C4B0D" w14:textId="2FD68B0C" w:rsidR="00AB485A" w:rsidRPr="00CE70F3" w:rsidRDefault="00AB485A" w:rsidP="00CE70F3">
      <w:pPr>
        <w:rPr>
          <w:b/>
          <w:lang w:val="fr-CA"/>
        </w:rPr>
      </w:pPr>
      <w:bookmarkStart w:id="19" w:name="SH06"/>
      <w:r w:rsidRPr="00CE70F3">
        <w:rPr>
          <w:b/>
          <w:lang w:val="fr-CA"/>
        </w:rPr>
        <w:t>Personne visée par règlement relativement aux produits de vapotage</w:t>
      </w:r>
      <w:bookmarkEnd w:id="19"/>
      <w:r w:rsidR="008E6971" w:rsidRPr="00CE70F3">
        <w:rPr>
          <w:b/>
          <w:lang w:val="fr-CA"/>
        </w:rPr>
        <w:t xml:space="preserve"> </w:t>
      </w:r>
    </w:p>
    <w:p w14:paraId="13782304" w14:textId="1096B4C3" w:rsidR="00AB485A" w:rsidRPr="00AB485A" w:rsidRDefault="009F4CEF" w:rsidP="00AB485A">
      <w:pPr>
        <w:rPr>
          <w:lang w:val="fr-CA"/>
        </w:rPr>
      </w:pPr>
      <w:r>
        <w:rPr>
          <w:lang w:val="fr-CA"/>
        </w:rPr>
        <w:t>21</w:t>
      </w:r>
      <w:r w:rsidR="00AB485A" w:rsidRPr="00AB485A">
        <w:rPr>
          <w:lang w:val="fr-CA"/>
        </w:rPr>
        <w:t xml:space="preserve">. Une personne qui importe uniquement des produits de vapotage emballés et estampillés au Canada est tenue d’être, auprès de l’ARC, une personne visée par règlement relativement aux produits de vapotage afin d’obtenir des timbres d’accise de vapotage. Lorsque les critères d'admissibilité sont rencontrés, l’ARC enverra une lettre à la personne pour confirmer qu’elle répond aux conditions pour être une personne visée par règlement relativement aux produits de vapotage et l’informera de son nouveau numéro de compte du programme des droits d'accise. </w:t>
      </w:r>
    </w:p>
    <w:p w14:paraId="042668B8" w14:textId="28D8950F" w:rsidR="00AB485A" w:rsidRPr="00AB485A" w:rsidRDefault="009F4CEF" w:rsidP="00AB485A">
      <w:pPr>
        <w:rPr>
          <w:lang w:val="fr-CA"/>
        </w:rPr>
      </w:pPr>
      <w:r>
        <w:rPr>
          <w:lang w:val="fr-CA"/>
        </w:rPr>
        <w:t>22</w:t>
      </w:r>
      <w:r w:rsidR="00AB485A" w:rsidRPr="00AB485A">
        <w:rPr>
          <w:lang w:val="fr-CA"/>
        </w:rPr>
        <w:t xml:space="preserve">. Pour plus de renseignements, consultez </w:t>
      </w:r>
      <w:r w:rsidR="00AB485A" w:rsidRPr="00AB0051">
        <w:rPr>
          <w:i/>
          <w:lang w:val="fr-CA"/>
        </w:rPr>
        <w:t>l’avis sur les droits d’accise</w:t>
      </w:r>
      <w:r w:rsidR="00AB485A" w:rsidRPr="00AB485A">
        <w:rPr>
          <w:lang w:val="fr-CA"/>
        </w:rPr>
        <w:t xml:space="preserve"> </w:t>
      </w:r>
      <w:r w:rsidR="00AB485A" w:rsidRPr="005651ED">
        <w:rPr>
          <w:i/>
          <w:lang w:val="fr-CA"/>
        </w:rPr>
        <w:t>EDN81 Comment devenir une personne visée par règlement relativement aux produits de vapotage</w:t>
      </w:r>
      <w:r w:rsidR="00AB485A" w:rsidRPr="00AB485A">
        <w:rPr>
          <w:lang w:val="fr-CA"/>
        </w:rPr>
        <w:t xml:space="preserve">, au lien se trouvant </w:t>
      </w:r>
      <w:r w:rsidR="00AB485A" w:rsidRPr="00EC3F8F">
        <w:rPr>
          <w:lang w:val="fr-CA"/>
        </w:rPr>
        <w:t>dans la section</w:t>
      </w:r>
      <w:r w:rsidR="00AB485A" w:rsidRPr="00AB485A">
        <w:rPr>
          <w:lang w:val="fr-CA"/>
        </w:rPr>
        <w:t xml:space="preserve"> </w:t>
      </w:r>
      <w:hyperlink w:anchor="Lienscommexes" w:history="1">
        <w:r w:rsidR="00E35D22" w:rsidRPr="005651ED">
          <w:rPr>
            <w:rStyle w:val="Hyperlink"/>
            <w:color w:val="auto"/>
            <w:u w:val="none"/>
            <w:lang w:val="fr-CA"/>
          </w:rPr>
          <w:t>Liens connexes</w:t>
        </w:r>
      </w:hyperlink>
      <w:r w:rsidR="00AB485A" w:rsidRPr="00EC5AA1">
        <w:rPr>
          <w:lang w:val="fr-CA"/>
        </w:rPr>
        <w:t xml:space="preserve"> </w:t>
      </w:r>
      <w:r w:rsidR="00AB485A" w:rsidRPr="00AB485A">
        <w:rPr>
          <w:lang w:val="fr-CA"/>
        </w:rPr>
        <w:t>de ce mémorandum.</w:t>
      </w:r>
    </w:p>
    <w:p w14:paraId="26A418C0" w14:textId="04DF599A" w:rsidR="00AB485A" w:rsidRPr="00CE70F3" w:rsidRDefault="00AB485A" w:rsidP="00CE70F3">
      <w:pPr>
        <w:rPr>
          <w:b/>
          <w:lang w:val="fr-CA"/>
        </w:rPr>
      </w:pPr>
      <w:bookmarkStart w:id="20" w:name="SH07"/>
      <w:r w:rsidRPr="00CE70F3">
        <w:rPr>
          <w:b/>
          <w:lang w:val="fr-CA"/>
        </w:rPr>
        <w:t>Personne visée par règlement relativement aux produits de vapotage — exception</w:t>
      </w:r>
      <w:bookmarkEnd w:id="20"/>
      <w:r w:rsidR="00AC6D6F" w:rsidRPr="00CE70F3">
        <w:rPr>
          <w:b/>
          <w:lang w:val="fr-CA"/>
        </w:rPr>
        <w:t xml:space="preserve"> </w:t>
      </w:r>
    </w:p>
    <w:p w14:paraId="2B4B0648" w14:textId="5E7E9FA8" w:rsidR="000038FA" w:rsidRDefault="00D52B40" w:rsidP="004E5DAA">
      <w:pPr>
        <w:rPr>
          <w:lang w:val="fr-CA"/>
        </w:rPr>
      </w:pPr>
      <w:r>
        <w:rPr>
          <w:lang w:val="fr-CA"/>
        </w:rPr>
        <w:t>23</w:t>
      </w:r>
      <w:r w:rsidR="00AB485A" w:rsidRPr="00AB485A">
        <w:rPr>
          <w:lang w:val="fr-CA"/>
        </w:rPr>
        <w:t>. Aux termes de l’</w:t>
      </w:r>
      <w:r w:rsidR="00E36313" w:rsidRPr="00AB485A">
        <w:rPr>
          <w:lang w:val="fr-CA"/>
        </w:rPr>
        <w:t>alinéa</w:t>
      </w:r>
      <w:r w:rsidR="00AB485A" w:rsidRPr="00AB485A">
        <w:rPr>
          <w:lang w:val="fr-CA"/>
        </w:rPr>
        <w:t xml:space="preserve"> 158.47(2)(c) de la </w:t>
      </w:r>
      <w:r w:rsidR="00AB485A" w:rsidRPr="002B0782">
        <w:rPr>
          <w:i/>
          <w:lang w:val="fr-CA"/>
        </w:rPr>
        <w:t>Loi de 2001 sur l’accise</w:t>
      </w:r>
      <w:r w:rsidR="00AB485A" w:rsidRPr="00AB485A">
        <w:rPr>
          <w:lang w:val="fr-CA"/>
        </w:rPr>
        <w:t xml:space="preserve"> et du paragraphe 5.</w:t>
      </w:r>
      <w:r w:rsidR="002B0782">
        <w:rPr>
          <w:lang w:val="fr-CA"/>
        </w:rPr>
        <w:t>0</w:t>
      </w:r>
      <w:r w:rsidR="00AB485A" w:rsidRPr="00AB485A">
        <w:rPr>
          <w:lang w:val="fr-CA"/>
        </w:rPr>
        <w:t xml:space="preserve">1 du </w:t>
      </w:r>
      <w:r w:rsidR="00AB485A" w:rsidRPr="002B0782">
        <w:rPr>
          <w:i/>
          <w:lang w:val="fr-CA"/>
        </w:rPr>
        <w:t>Règlement sur l’estampillage et le marquage des produits du tabac, du cannabis et de vapotage</w:t>
      </w:r>
      <w:r w:rsidR="00AB485A" w:rsidRPr="00AB485A">
        <w:rPr>
          <w:lang w:val="fr-CA"/>
        </w:rPr>
        <w:t>, une personne qui importe des produits de vapotage pour son usage personnel en quantités ne dépassant pas la limite prescrite de 5 unités, n’est pas tenue d’être une personne visée par règlement relativement aux produits de vapotage.</w:t>
      </w:r>
    </w:p>
    <w:p w14:paraId="4A9AA307" w14:textId="7CE0C984" w:rsidR="003B2E83" w:rsidRPr="00CE70F3" w:rsidRDefault="003B2E83" w:rsidP="00CE70F3">
      <w:pPr>
        <w:rPr>
          <w:b/>
          <w:lang w:val="fr-CA"/>
        </w:rPr>
      </w:pPr>
      <w:bookmarkStart w:id="21" w:name="SH08"/>
      <w:r w:rsidRPr="00CE70F3">
        <w:rPr>
          <w:b/>
          <w:lang w:val="fr-CA"/>
        </w:rPr>
        <w:t>Transporteurs</w:t>
      </w:r>
      <w:bookmarkEnd w:id="21"/>
      <w:r w:rsidR="002B616E" w:rsidRPr="00CE70F3">
        <w:rPr>
          <w:b/>
          <w:lang w:val="fr-CA"/>
        </w:rPr>
        <w:t xml:space="preserve"> </w:t>
      </w:r>
    </w:p>
    <w:p w14:paraId="296D2540" w14:textId="0867F972" w:rsidR="003B2E83" w:rsidRPr="003B2E83" w:rsidRDefault="003B2E83" w:rsidP="003B2E83">
      <w:pPr>
        <w:rPr>
          <w:lang w:val="fr-CA" w:bidi="fr-FR"/>
        </w:rPr>
      </w:pPr>
      <w:r>
        <w:rPr>
          <w:lang w:val="fr-CA" w:bidi="fr-FR"/>
        </w:rPr>
        <w:t>2</w:t>
      </w:r>
      <w:r w:rsidR="00AF5921">
        <w:rPr>
          <w:lang w:val="fr-CA" w:bidi="fr-FR"/>
        </w:rPr>
        <w:t>4</w:t>
      </w:r>
      <w:r w:rsidR="00163EC1">
        <w:rPr>
          <w:lang w:val="fr-CA" w:bidi="fr-FR"/>
        </w:rPr>
        <w:t>.</w:t>
      </w:r>
      <w:r>
        <w:rPr>
          <w:lang w:val="fr-CA" w:bidi="fr-FR"/>
        </w:rPr>
        <w:t xml:space="preserve"> </w:t>
      </w:r>
      <w:r w:rsidRPr="003B2E83">
        <w:rPr>
          <w:lang w:val="fr-CA" w:bidi="fr-FR"/>
        </w:rPr>
        <w:t xml:space="preserve">Selon l’article 1.4 du </w:t>
      </w:r>
      <w:r w:rsidRPr="003B2E83">
        <w:rPr>
          <w:i/>
          <w:lang w:val="fr-CA" w:bidi="fr-FR"/>
        </w:rPr>
        <w:t>Règlement sur la possession de produits du tabac, du cannabis ou de vapotage non estampillés</w:t>
      </w:r>
      <w:r w:rsidRPr="003B2E83">
        <w:rPr>
          <w:lang w:val="fr-CA" w:bidi="fr-FR"/>
        </w:rPr>
        <w:t xml:space="preserve">, une personne peut posséder un produit de vapotage non-estampillé si elle est autorisée par un agent selon l’article 19 de la </w:t>
      </w:r>
      <w:hyperlink r:id="rId11" w:history="1">
        <w:r w:rsidR="00280759" w:rsidRPr="006F56BE">
          <w:rPr>
            <w:rStyle w:val="Hyperlink"/>
            <w:i/>
            <w:color w:val="auto"/>
            <w:u w:val="none"/>
            <w:lang w:val="fr-CA" w:bidi="fr-FR"/>
          </w:rPr>
          <w:t>Loi sur les douanes</w:t>
        </w:r>
      </w:hyperlink>
      <w:r w:rsidRPr="009868C2">
        <w:rPr>
          <w:lang w:val="fr-CA" w:bidi="fr-FR"/>
        </w:rPr>
        <w:t xml:space="preserve"> </w:t>
      </w:r>
      <w:r w:rsidRPr="003B2E83">
        <w:rPr>
          <w:lang w:val="fr-CA" w:bidi="fr-FR"/>
        </w:rPr>
        <w:t xml:space="preserve">à transporter produits de vapotage qui ont été déclarés selon l’article 12 de cette </w:t>
      </w:r>
      <w:r w:rsidR="007E2DEF" w:rsidRPr="006F56BE">
        <w:rPr>
          <w:i/>
          <w:lang w:val="fr-CA" w:bidi="fr-FR"/>
        </w:rPr>
        <w:t>L</w:t>
      </w:r>
      <w:r w:rsidRPr="006F56BE">
        <w:rPr>
          <w:i/>
          <w:lang w:val="fr-CA" w:bidi="fr-FR"/>
        </w:rPr>
        <w:t xml:space="preserve">oi </w:t>
      </w:r>
      <w:r w:rsidRPr="003B2E83">
        <w:rPr>
          <w:lang w:val="fr-CA" w:bidi="fr-FR"/>
        </w:rPr>
        <w:t xml:space="preserve">et qui agit conformément à cette autorisation. Les marchandises peuvent obtenir la mainlevée au premier port d’arrivée (PPA) ou être transportées sous douane vers un entrepôt d’attente autorisé à accepter des produits de vapotage. Pour plus de renseignements, consultez la série des </w:t>
      </w:r>
      <w:r w:rsidRPr="006F56BE">
        <w:rPr>
          <w:i/>
          <w:lang w:val="fr-CA" w:bidi="fr-FR"/>
        </w:rPr>
        <w:t>Mémorandums D : D3 - Transport</w:t>
      </w:r>
      <w:r w:rsidRPr="003B2E83">
        <w:rPr>
          <w:lang w:val="fr-CA" w:bidi="fr-FR"/>
        </w:rPr>
        <w:t xml:space="preserve"> et le </w:t>
      </w:r>
      <w:r w:rsidRPr="003B2E83">
        <w:rPr>
          <w:i/>
          <w:lang w:val="fr-CA" w:bidi="fr-FR"/>
        </w:rPr>
        <w:t>Règlement sur la possession de produits du tabac, du cannabis ou de vapotage non estampillés</w:t>
      </w:r>
      <w:r w:rsidRPr="003B2E83">
        <w:rPr>
          <w:lang w:val="fr-CA" w:bidi="fr-FR"/>
        </w:rPr>
        <w:t xml:space="preserve">, aux liens se </w:t>
      </w:r>
      <w:r w:rsidRPr="009F6C81">
        <w:rPr>
          <w:lang w:val="fr-CA" w:bidi="fr-FR"/>
        </w:rPr>
        <w:t xml:space="preserve">trouvant dans la section </w:t>
      </w:r>
      <w:hyperlink w:anchor="Lienscommexes" w:history="1">
        <w:r w:rsidR="00AE17D9" w:rsidRPr="006F56BE">
          <w:rPr>
            <w:rStyle w:val="Hyperlink"/>
            <w:color w:val="auto"/>
            <w:u w:val="none"/>
            <w:lang w:val="fr-CA"/>
          </w:rPr>
          <w:t>Liens connexes</w:t>
        </w:r>
      </w:hyperlink>
      <w:r w:rsidRPr="003B2E83">
        <w:rPr>
          <w:lang w:val="fr-CA" w:bidi="fr-FR"/>
        </w:rPr>
        <w:t xml:space="preserve"> de ce mémorandum.</w:t>
      </w:r>
    </w:p>
    <w:p w14:paraId="5B3ADCB1" w14:textId="77777777" w:rsidR="003B2E83" w:rsidRPr="00447EBA" w:rsidRDefault="003B2E83" w:rsidP="007D6D16">
      <w:pPr>
        <w:pStyle w:val="Heading3"/>
      </w:pPr>
      <w:bookmarkStart w:id="22" w:name="SH09"/>
      <w:r w:rsidRPr="00447EBA">
        <w:t>Inscription au régime d’estampillage des produits de vapotage</w:t>
      </w:r>
      <w:bookmarkEnd w:id="22"/>
      <w:r w:rsidRPr="00447EBA">
        <w:t xml:space="preserve"> </w:t>
      </w:r>
    </w:p>
    <w:p w14:paraId="7C316756" w14:textId="529D5E2D" w:rsidR="003B2E83" w:rsidRPr="003B2E83" w:rsidRDefault="00AF5921" w:rsidP="003B2E83">
      <w:pPr>
        <w:rPr>
          <w:lang w:val="fr-CA" w:bidi="fr-FR"/>
        </w:rPr>
      </w:pPr>
      <w:r>
        <w:rPr>
          <w:lang w:val="fr-CA" w:bidi="fr-FR"/>
        </w:rPr>
        <w:t>25</w:t>
      </w:r>
      <w:r w:rsidR="003B2E83">
        <w:rPr>
          <w:lang w:val="fr-CA" w:bidi="fr-FR"/>
        </w:rPr>
        <w:t xml:space="preserve">. </w:t>
      </w:r>
      <w:r w:rsidR="003B2E83" w:rsidRPr="003B2E83">
        <w:rPr>
          <w:lang w:val="fr-CA" w:bidi="fr-FR"/>
        </w:rPr>
        <w:t xml:space="preserve">Aux termes de la </w:t>
      </w:r>
      <w:r w:rsidR="003B2E83" w:rsidRPr="003B2E83">
        <w:rPr>
          <w:i/>
          <w:lang w:val="fr-CA" w:bidi="fr-FR"/>
        </w:rPr>
        <w:t>Loi de 2001 sur l'accise</w:t>
      </w:r>
      <w:r w:rsidR="003B2E83" w:rsidRPr="003B2E83">
        <w:rPr>
          <w:lang w:val="fr-CA" w:bidi="fr-FR"/>
        </w:rPr>
        <w:t>, les personnes suivantes doivent s’inscrire au régime d'estampillage des produits de vapotage pour pouvoir acheter des timbres d'accise de vapotage</w:t>
      </w:r>
      <w:r w:rsidR="003B3261">
        <w:rPr>
          <w:lang w:val="fr-CA" w:bidi="fr-FR"/>
        </w:rPr>
        <w:t> :</w:t>
      </w:r>
      <w:r w:rsidR="003B2E83" w:rsidRPr="003B2E83">
        <w:rPr>
          <w:lang w:val="fr-CA" w:bidi="fr-FR"/>
        </w:rPr>
        <w:t> </w:t>
      </w:r>
    </w:p>
    <w:p w14:paraId="2381DEF9" w14:textId="681F02CA" w:rsidR="00CA0F90" w:rsidRDefault="007907C4" w:rsidP="00CA0F90">
      <w:pPr>
        <w:ind w:left="284"/>
        <w:rPr>
          <w:lang w:val="fr-CA"/>
        </w:rPr>
      </w:pPr>
      <w:r>
        <w:rPr>
          <w:lang w:val="fr-CA"/>
        </w:rPr>
        <w:t xml:space="preserve">a) </w:t>
      </w:r>
      <w:r w:rsidR="003B2E83" w:rsidRPr="003B2E83">
        <w:rPr>
          <w:lang w:val="fr-CA"/>
        </w:rPr>
        <w:t>un titulaire de licence de produits de vapotage qui fabrique des produits de vapotage au Canada ou qui importe des produits de vapotage p</w:t>
      </w:r>
      <w:r>
        <w:rPr>
          <w:lang w:val="fr-CA"/>
        </w:rPr>
        <w:t>our les estampiller au Canada</w:t>
      </w:r>
    </w:p>
    <w:p w14:paraId="1E740F87" w14:textId="72214787" w:rsidR="003B2E83" w:rsidRPr="003B2E83" w:rsidRDefault="007907C4" w:rsidP="00CA0F90">
      <w:pPr>
        <w:ind w:left="284"/>
        <w:rPr>
          <w:lang w:val="fr-CA"/>
        </w:rPr>
      </w:pPr>
      <w:r>
        <w:rPr>
          <w:lang w:val="fr-CA"/>
        </w:rPr>
        <w:t xml:space="preserve">b) </w:t>
      </w:r>
      <w:r w:rsidR="003B2E83" w:rsidRPr="003B2E83">
        <w:rPr>
          <w:lang w:val="fr-CA"/>
        </w:rPr>
        <w:t>une personne visée par règlement qui importe des produits de vapotage estampillés et emballés pour le marché canadien des marchandises acquittées</w:t>
      </w:r>
    </w:p>
    <w:p w14:paraId="658471C7" w14:textId="36427E62" w:rsidR="003B2E83" w:rsidRPr="003B2E83" w:rsidRDefault="00AF5921" w:rsidP="003B2E83">
      <w:pPr>
        <w:rPr>
          <w:lang w:val="fr-CA" w:bidi="fr-FR"/>
        </w:rPr>
      </w:pPr>
      <w:r>
        <w:rPr>
          <w:lang w:val="fr-CA" w:bidi="fr-FR"/>
        </w:rPr>
        <w:t>26</w:t>
      </w:r>
      <w:r w:rsidR="003B2E83">
        <w:rPr>
          <w:lang w:val="fr-CA" w:bidi="fr-FR"/>
        </w:rPr>
        <w:t xml:space="preserve">. </w:t>
      </w:r>
      <w:r w:rsidR="003B2E83" w:rsidRPr="003B2E83">
        <w:rPr>
          <w:lang w:val="fr-CA" w:bidi="fr-FR"/>
        </w:rPr>
        <w:t xml:space="preserve">Une personne peut s’inscrire au régime d'estampillage des produits de vapotage en même temps qu’elle applique pour une demande de licence de produits de vapotage ou pour être une personne visée par règlement relativement aux produits de vapotage selon la </w:t>
      </w:r>
      <w:r w:rsidR="003B2E83" w:rsidRPr="003B2E83">
        <w:rPr>
          <w:i/>
          <w:lang w:val="fr-CA" w:bidi="fr-FR"/>
        </w:rPr>
        <w:t>Loi de 2001 sur l'accise</w:t>
      </w:r>
      <w:r w:rsidR="003B2E83" w:rsidRPr="003B2E83">
        <w:rPr>
          <w:lang w:val="fr-CA" w:bidi="fr-FR"/>
        </w:rPr>
        <w:t>. L’ARC enverra une lettre à la personne pour confirmer son inscription et fournir des instructions sur la façon d'acheter des timbres.</w:t>
      </w:r>
    </w:p>
    <w:p w14:paraId="250DC0ED" w14:textId="0B0A745E" w:rsidR="003B2E83" w:rsidRPr="003B2E83" w:rsidRDefault="00AF5921" w:rsidP="003B2E83">
      <w:pPr>
        <w:rPr>
          <w:lang w:val="fr-CA" w:bidi="fr-FR"/>
        </w:rPr>
      </w:pPr>
      <w:r>
        <w:rPr>
          <w:lang w:val="fr-CA" w:bidi="fr-FR"/>
        </w:rPr>
        <w:t>27</w:t>
      </w:r>
      <w:r w:rsidR="003B2E83">
        <w:rPr>
          <w:lang w:val="fr-CA" w:bidi="fr-FR"/>
        </w:rPr>
        <w:t xml:space="preserve">. </w:t>
      </w:r>
      <w:r w:rsidR="003B2E83" w:rsidRPr="003B2E83">
        <w:rPr>
          <w:lang w:val="fr-CA" w:bidi="fr-FR"/>
        </w:rPr>
        <w:t xml:space="preserve">Pour plus de renseignements, consultez </w:t>
      </w:r>
      <w:r w:rsidR="003B2E83" w:rsidRPr="00AB0051">
        <w:rPr>
          <w:i/>
          <w:lang w:val="fr-CA" w:bidi="fr-FR"/>
        </w:rPr>
        <w:t>l’avis sur les droits d’accise</w:t>
      </w:r>
      <w:r w:rsidR="003B2E83" w:rsidRPr="003B2E83">
        <w:rPr>
          <w:lang w:val="fr-CA" w:bidi="fr-FR"/>
        </w:rPr>
        <w:t xml:space="preserve"> </w:t>
      </w:r>
      <w:r w:rsidR="003B2E83" w:rsidRPr="00442C3F">
        <w:rPr>
          <w:i/>
          <w:lang w:val="fr-CA" w:bidi="fr-FR"/>
        </w:rPr>
        <w:t>EDN80, Aperçu des timbres d’accise de vapotage</w:t>
      </w:r>
      <w:r w:rsidR="003B2E83" w:rsidRPr="003B2E83">
        <w:rPr>
          <w:lang w:val="fr-CA" w:bidi="fr-FR"/>
        </w:rPr>
        <w:t xml:space="preserve">, au lien se trouvant dans la section </w:t>
      </w:r>
      <w:hyperlink w:anchor="Lienscommexes" w:history="1">
        <w:r w:rsidR="00D60F45" w:rsidRPr="00442C3F">
          <w:rPr>
            <w:rStyle w:val="Hyperlink"/>
            <w:color w:val="auto"/>
            <w:u w:val="none"/>
            <w:lang w:val="fr-CA"/>
          </w:rPr>
          <w:t>Liens connexes</w:t>
        </w:r>
      </w:hyperlink>
      <w:r w:rsidR="003B2E83" w:rsidRPr="003B2E83">
        <w:rPr>
          <w:lang w:val="fr-CA" w:bidi="fr-FR"/>
        </w:rPr>
        <w:t xml:space="preserve"> de ce mémorandum.</w:t>
      </w:r>
    </w:p>
    <w:p w14:paraId="534E51CD" w14:textId="332046EF" w:rsidR="00AF7A0E" w:rsidRPr="00447EBA" w:rsidRDefault="00AF7A0E" w:rsidP="007D6D16">
      <w:pPr>
        <w:pStyle w:val="Heading3"/>
      </w:pPr>
      <w:bookmarkStart w:id="23" w:name="_Inscription_au_régime"/>
      <w:bookmarkEnd w:id="23"/>
      <w:r w:rsidRPr="00447EBA">
        <w:t xml:space="preserve">Inscription au régime d’estampillage des produits de vapotage </w:t>
      </w:r>
      <w:r w:rsidR="0030415C">
        <w:t>–</w:t>
      </w:r>
      <w:r w:rsidRPr="00447EBA">
        <w:t xml:space="preserve"> exceptions</w:t>
      </w:r>
      <w:r w:rsidR="0030415C">
        <w:t xml:space="preserve"> </w:t>
      </w:r>
    </w:p>
    <w:p w14:paraId="7EA4F844" w14:textId="109FA8F9" w:rsidR="00AF7A0E" w:rsidRDefault="004208F2" w:rsidP="00AF7A0E">
      <w:pPr>
        <w:rPr>
          <w:lang w:val="fr-CA"/>
        </w:rPr>
      </w:pPr>
      <w:r>
        <w:rPr>
          <w:lang w:val="fr-CA"/>
        </w:rPr>
        <w:t>28</w:t>
      </w:r>
      <w:r w:rsidR="00AF7A0E">
        <w:rPr>
          <w:lang w:val="fr-CA"/>
        </w:rPr>
        <w:t xml:space="preserve">. </w:t>
      </w:r>
      <w:r w:rsidR="00AF7A0E" w:rsidRPr="00AF7A0E">
        <w:rPr>
          <w:lang w:val="fr-CA"/>
        </w:rPr>
        <w:t xml:space="preserve">Aux termes de la </w:t>
      </w:r>
      <w:r w:rsidR="00AF7A0E" w:rsidRPr="00874893">
        <w:rPr>
          <w:i/>
          <w:lang w:val="fr-CA"/>
        </w:rPr>
        <w:t>Loi de 2001 sur l'accise</w:t>
      </w:r>
      <w:r w:rsidR="00AF7A0E" w:rsidRPr="00AF7A0E">
        <w:rPr>
          <w:lang w:val="fr-CA"/>
        </w:rPr>
        <w:t>, les personnes suivantes ne sont pas tenues de s’inscrire au régime d'estampillage des produits de vapotage :</w:t>
      </w:r>
    </w:p>
    <w:p w14:paraId="19D53DE5" w14:textId="1830DA76" w:rsidR="00AF7A0E" w:rsidRDefault="00001462" w:rsidP="00A868EB">
      <w:pPr>
        <w:ind w:left="284"/>
        <w:rPr>
          <w:lang w:val="fr-CA"/>
        </w:rPr>
      </w:pPr>
      <w:r>
        <w:rPr>
          <w:lang w:val="fr-CA"/>
        </w:rPr>
        <w:t xml:space="preserve">a) </w:t>
      </w:r>
      <w:r w:rsidR="00AF7A0E" w:rsidRPr="00AF7A0E">
        <w:rPr>
          <w:lang w:val="fr-CA"/>
        </w:rPr>
        <w:t>un titulaire de licence de produits de vapotage qui emballe seulement des produits de vapotage pour exportation à l'extérieur du Canada</w:t>
      </w:r>
    </w:p>
    <w:p w14:paraId="24B430F7" w14:textId="09C21A12" w:rsidR="00AF7A0E" w:rsidRDefault="00001462" w:rsidP="00A868EB">
      <w:pPr>
        <w:ind w:left="284"/>
        <w:rPr>
          <w:lang w:val="fr-CA"/>
        </w:rPr>
      </w:pPr>
      <w:r>
        <w:rPr>
          <w:lang w:val="fr-CA"/>
        </w:rPr>
        <w:t xml:space="preserve">b) </w:t>
      </w:r>
      <w:r w:rsidR="00AF7A0E" w:rsidRPr="00AF7A0E">
        <w:rPr>
          <w:lang w:val="fr-CA"/>
        </w:rPr>
        <w:t xml:space="preserve">un titulaire de licence de produits de vapotage qui emballe seulement des drogues de produit de vapotage auxquelles une identification numérique a été attribuée en application du </w:t>
      </w:r>
      <w:r w:rsidR="00AF7A0E" w:rsidRPr="00AF7A0E">
        <w:rPr>
          <w:i/>
          <w:lang w:val="fr-CA"/>
        </w:rPr>
        <w:t>Règlement sur les aliments et drogues</w:t>
      </w:r>
    </w:p>
    <w:p w14:paraId="2FC7451B" w14:textId="56D165DA" w:rsidR="00AF7A0E" w:rsidRPr="008C2FBF" w:rsidRDefault="00001462" w:rsidP="00A868EB">
      <w:pPr>
        <w:ind w:left="284"/>
        <w:rPr>
          <w:lang w:val="fr-CA"/>
        </w:rPr>
      </w:pPr>
      <w:r w:rsidRPr="008C2FBF">
        <w:rPr>
          <w:lang w:val="fr-CA"/>
        </w:rPr>
        <w:t xml:space="preserve">c) </w:t>
      </w:r>
      <w:r w:rsidR="00AF7A0E" w:rsidRPr="008C2FBF">
        <w:rPr>
          <w:lang w:val="fr-CA"/>
        </w:rPr>
        <w:t xml:space="preserve">un titulaire de licence de produits de vapotage qui emballe seulement des produits de vapotage aux fins de vente à un représentant accrédité pour son usage officiel ou personnel </w:t>
      </w:r>
    </w:p>
    <w:p w14:paraId="0AB2DA54" w14:textId="09D7A518" w:rsidR="00AF7A0E" w:rsidRDefault="008C2FBF" w:rsidP="00833F35">
      <w:pPr>
        <w:ind w:left="284"/>
        <w:rPr>
          <w:lang w:val="fr-CA"/>
        </w:rPr>
      </w:pPr>
      <w:r w:rsidRPr="008C2FBF">
        <w:rPr>
          <w:lang w:val="fr-CA"/>
        </w:rPr>
        <w:t>d</w:t>
      </w:r>
      <w:r w:rsidR="00001462" w:rsidRPr="008C2FBF">
        <w:rPr>
          <w:lang w:val="fr-CA"/>
        </w:rPr>
        <w:t xml:space="preserve">) </w:t>
      </w:r>
      <w:r w:rsidR="00AF7A0E" w:rsidRPr="008C2FBF">
        <w:rPr>
          <w:lang w:val="fr-CA"/>
        </w:rPr>
        <w:t>un titulaire de licence de produits de vapotage qui n'emballe pas de produits de vapotage dans le plus petit emballage dans lequel ils seront vendus au consommateur</w:t>
      </w:r>
    </w:p>
    <w:p w14:paraId="4F5120D1" w14:textId="216DD4D2" w:rsidR="000038FA" w:rsidRDefault="0064244B" w:rsidP="00833F35">
      <w:pPr>
        <w:ind w:left="284"/>
        <w:rPr>
          <w:lang w:val="fr-CA"/>
        </w:rPr>
      </w:pPr>
      <w:r>
        <w:rPr>
          <w:lang w:val="fr-CA"/>
        </w:rPr>
        <w:lastRenderedPageBreak/>
        <w:t>e</w:t>
      </w:r>
      <w:r w:rsidR="00001462">
        <w:rPr>
          <w:lang w:val="fr-CA"/>
        </w:rPr>
        <w:t xml:space="preserve">) </w:t>
      </w:r>
      <w:r w:rsidR="00AF7A0E" w:rsidRPr="00AF7A0E">
        <w:rPr>
          <w:lang w:val="fr-CA"/>
        </w:rPr>
        <w:t xml:space="preserve">une personne qui importe pour son usage personnel en quantités ne dépassant pas la limite prescrite de 5 unités, aux termes de la sous-section 5.01 du </w:t>
      </w:r>
      <w:r w:rsidR="00AF7A0E" w:rsidRPr="00AF7A0E">
        <w:rPr>
          <w:i/>
          <w:lang w:val="fr-CA"/>
        </w:rPr>
        <w:t>Règlement sur l’estampillage et le marquage des produits du tabac, du cannabis et de vapotage</w:t>
      </w:r>
    </w:p>
    <w:p w14:paraId="0E15219A" w14:textId="0E384865" w:rsidR="000B0756" w:rsidRPr="000B0756" w:rsidRDefault="004208F2" w:rsidP="000B0756">
      <w:pPr>
        <w:rPr>
          <w:lang w:val="fr-CA"/>
        </w:rPr>
      </w:pPr>
      <w:r>
        <w:rPr>
          <w:lang w:val="fr-CA"/>
        </w:rPr>
        <w:t>29</w:t>
      </w:r>
      <w:r w:rsidR="000B0756" w:rsidRPr="000B0756">
        <w:rPr>
          <w:lang w:val="fr-CA"/>
        </w:rPr>
        <w:t>.</w:t>
      </w:r>
      <w:r w:rsidR="000B0756">
        <w:rPr>
          <w:lang w:val="fr-CA"/>
        </w:rPr>
        <w:t xml:space="preserve"> </w:t>
      </w:r>
      <w:r w:rsidR="000B0756" w:rsidRPr="000B0756">
        <w:rPr>
          <w:lang w:val="fr-CA"/>
        </w:rPr>
        <w:t xml:space="preserve">Pour plus de renseignements, consultez </w:t>
      </w:r>
      <w:r w:rsidR="000B0756" w:rsidRPr="00AB0051">
        <w:rPr>
          <w:i/>
          <w:lang w:val="fr-CA"/>
        </w:rPr>
        <w:t>l’avis sur les droits d’accise</w:t>
      </w:r>
      <w:r w:rsidR="000B0756" w:rsidRPr="000B0756">
        <w:rPr>
          <w:lang w:val="fr-CA"/>
        </w:rPr>
        <w:t xml:space="preserve"> </w:t>
      </w:r>
      <w:r w:rsidR="000B0756" w:rsidRPr="008A1CAC">
        <w:rPr>
          <w:i/>
          <w:lang w:val="fr-CA"/>
        </w:rPr>
        <w:t>EDN80, Aperçu des timbres d’accise de vapotage</w:t>
      </w:r>
      <w:r w:rsidR="000B0756" w:rsidRPr="000B0756">
        <w:rPr>
          <w:lang w:val="fr-CA"/>
        </w:rPr>
        <w:t xml:space="preserve">, au lien se trouvant dans la section </w:t>
      </w:r>
      <w:hyperlink w:anchor="Lienscommexes" w:history="1">
        <w:r w:rsidR="00D60F45" w:rsidRPr="008A1CAC">
          <w:rPr>
            <w:rStyle w:val="Hyperlink"/>
            <w:color w:val="auto"/>
            <w:u w:val="none"/>
            <w:lang w:val="fr-CA"/>
          </w:rPr>
          <w:t>Liens connexes</w:t>
        </w:r>
      </w:hyperlink>
      <w:r w:rsidR="000B0756" w:rsidRPr="000B0756">
        <w:rPr>
          <w:lang w:val="fr-CA"/>
        </w:rPr>
        <w:t xml:space="preserve"> de ce mémorandum.</w:t>
      </w:r>
    </w:p>
    <w:p w14:paraId="5BB6CA30" w14:textId="4B2FF809" w:rsidR="000B0756" w:rsidRPr="0035734E" w:rsidRDefault="000B0756" w:rsidP="007D6D16">
      <w:pPr>
        <w:pStyle w:val="Heading3"/>
      </w:pPr>
      <w:bookmarkStart w:id="24" w:name="SH10"/>
      <w:bookmarkStart w:id="25" w:name="SH11"/>
      <w:r w:rsidRPr="00117000">
        <w:t>Timbres d'accise de vapotage – processus de commande</w:t>
      </w:r>
      <w:bookmarkEnd w:id="24"/>
      <w:bookmarkEnd w:id="25"/>
      <w:r w:rsidR="0030415C" w:rsidRPr="00117000">
        <w:t xml:space="preserve"> </w:t>
      </w:r>
    </w:p>
    <w:p w14:paraId="0E778AF4" w14:textId="6A886681" w:rsidR="000B0756" w:rsidRPr="000B0756" w:rsidRDefault="004208F2" w:rsidP="000B0756">
      <w:pPr>
        <w:rPr>
          <w:lang w:val="fr-CA"/>
        </w:rPr>
      </w:pPr>
      <w:r>
        <w:rPr>
          <w:lang w:val="fr-CA"/>
        </w:rPr>
        <w:t>30</w:t>
      </w:r>
      <w:r w:rsidR="000B0756" w:rsidRPr="000B0756">
        <w:rPr>
          <w:lang w:val="fr-CA"/>
        </w:rPr>
        <w:t>.</w:t>
      </w:r>
      <w:r w:rsidR="000B0756">
        <w:rPr>
          <w:lang w:val="fr-CA"/>
        </w:rPr>
        <w:t xml:space="preserve"> </w:t>
      </w:r>
      <w:r w:rsidR="000B0756" w:rsidRPr="000B0756">
        <w:rPr>
          <w:lang w:val="fr-CA"/>
        </w:rPr>
        <w:t>Un importateur doit être autorisé par l’ARC à acheter des timbres de v</w:t>
      </w:r>
      <w:r w:rsidR="000B0756" w:rsidRPr="002B5F1E">
        <w:rPr>
          <w:lang w:val="fr-CA"/>
        </w:rPr>
        <w:t>apotage</w:t>
      </w:r>
      <w:r w:rsidR="00C02BE0" w:rsidRPr="002B5F1E">
        <w:rPr>
          <w:lang w:val="fr-CA"/>
        </w:rPr>
        <w:t xml:space="preserve"> </w:t>
      </w:r>
      <w:r w:rsidR="002B5F1E" w:rsidRPr="002B5F1E">
        <w:rPr>
          <w:lang w:val="fr-CA"/>
        </w:rPr>
        <w:t>(</w:t>
      </w:r>
      <w:r w:rsidR="00735C40" w:rsidRPr="00CE70F3">
        <w:rPr>
          <w:rFonts w:cs="Arial"/>
          <w:szCs w:val="24"/>
          <w:highlight w:val="yellow"/>
          <w:lang w:val="fr-CA"/>
        </w:rPr>
        <w:t>timbres de vapotage indicateur-CAN</w:t>
      </w:r>
      <w:r w:rsidR="00C02BE0" w:rsidRPr="00CE70F3">
        <w:rPr>
          <w:rFonts w:eastAsia="Times New Roman" w:cs="Arial"/>
          <w:szCs w:val="24"/>
          <w:highlight w:val="yellow"/>
          <w:lang w:val="fr-CA" w:bidi="en-US"/>
        </w:rPr>
        <w:t xml:space="preserve"> et </w:t>
      </w:r>
      <w:r w:rsidR="000452B7" w:rsidRPr="00CE70F3">
        <w:rPr>
          <w:rFonts w:eastAsia="Times New Roman" w:cs="Arial"/>
          <w:szCs w:val="24"/>
          <w:highlight w:val="yellow"/>
          <w:lang w:val="fr-CA" w:bidi="en-US"/>
        </w:rPr>
        <w:t>timbre</w:t>
      </w:r>
      <w:r w:rsidR="002974AA" w:rsidRPr="00CE70F3">
        <w:rPr>
          <w:rFonts w:eastAsia="Times New Roman" w:cs="Arial"/>
          <w:szCs w:val="24"/>
          <w:highlight w:val="yellow"/>
          <w:lang w:val="fr-CA" w:bidi="en-US"/>
        </w:rPr>
        <w:t>s</w:t>
      </w:r>
      <w:r w:rsidR="000452B7" w:rsidRPr="00CE70F3">
        <w:rPr>
          <w:rFonts w:eastAsia="Times New Roman" w:cs="Arial"/>
          <w:szCs w:val="24"/>
          <w:highlight w:val="yellow"/>
          <w:lang w:val="fr-CA" w:bidi="en-US"/>
        </w:rPr>
        <w:t xml:space="preserve"> PT</w:t>
      </w:r>
      <w:r w:rsidR="002B5F1E" w:rsidRPr="00CE70F3">
        <w:rPr>
          <w:rFonts w:eastAsia="Times New Roman" w:cs="Arial"/>
          <w:szCs w:val="24"/>
          <w:highlight w:val="yellow"/>
          <w:lang w:val="fr-CA" w:bidi="en-US"/>
        </w:rPr>
        <w:t>-</w:t>
      </w:r>
      <w:r w:rsidR="000452B7" w:rsidRPr="00CE70F3">
        <w:rPr>
          <w:rFonts w:eastAsia="Times New Roman" w:cs="Arial"/>
          <w:szCs w:val="24"/>
          <w:highlight w:val="yellow"/>
          <w:lang w:val="fr-CA" w:bidi="en-US"/>
        </w:rPr>
        <w:t>déterminé</w:t>
      </w:r>
      <w:r w:rsidR="002B5F1E" w:rsidRPr="00CE70F3">
        <w:rPr>
          <w:rFonts w:eastAsia="Times New Roman" w:cs="Arial"/>
          <w:szCs w:val="24"/>
          <w:highlight w:val="yellow"/>
          <w:lang w:val="fr-CA" w:bidi="en-US"/>
        </w:rPr>
        <w:t>s</w:t>
      </w:r>
      <w:r w:rsidR="00C02BE0" w:rsidRPr="00CE70F3">
        <w:rPr>
          <w:rFonts w:eastAsia="Times New Roman" w:cs="Arial"/>
          <w:szCs w:val="24"/>
          <w:lang w:val="fr-CA" w:bidi="en-US"/>
        </w:rPr>
        <w:t>).</w:t>
      </w:r>
      <w:r w:rsidR="00981567" w:rsidRPr="00CE70F3">
        <w:rPr>
          <w:rFonts w:eastAsia="Times New Roman" w:cs="Arial"/>
          <w:szCs w:val="24"/>
          <w:lang w:val="fr-CA" w:bidi="en-US"/>
        </w:rPr>
        <w:t xml:space="preserve"> </w:t>
      </w:r>
      <w:r w:rsidR="000B0756" w:rsidRPr="002B5F1E">
        <w:rPr>
          <w:lang w:val="fr-CA"/>
        </w:rPr>
        <w:t>Pour plus</w:t>
      </w:r>
      <w:r w:rsidR="000B0756" w:rsidRPr="000B0756">
        <w:rPr>
          <w:lang w:val="fr-CA"/>
        </w:rPr>
        <w:t xml:space="preserve"> de renseignements, consultez </w:t>
      </w:r>
      <w:r w:rsidR="000B0756" w:rsidRPr="00AB0051">
        <w:rPr>
          <w:i/>
          <w:lang w:val="fr-CA"/>
        </w:rPr>
        <w:t>l’avis sur les droits d’accise</w:t>
      </w:r>
      <w:r w:rsidR="000B0756" w:rsidRPr="000B0756">
        <w:rPr>
          <w:lang w:val="fr-CA"/>
        </w:rPr>
        <w:t xml:space="preserve"> </w:t>
      </w:r>
      <w:r w:rsidR="000B0756" w:rsidRPr="008A1CAC">
        <w:rPr>
          <w:i/>
          <w:lang w:val="fr-CA"/>
        </w:rPr>
        <w:t>EDN80, Aperçu des timbres d’accise de vapotage</w:t>
      </w:r>
      <w:r w:rsidR="000B0756" w:rsidRPr="000B0756">
        <w:rPr>
          <w:lang w:val="fr-CA"/>
        </w:rPr>
        <w:t xml:space="preserve">, au lien se trouvant dans la section </w:t>
      </w:r>
      <w:hyperlink w:anchor="Lienscommexes" w:history="1">
        <w:r w:rsidR="009B2681" w:rsidRPr="00C50D39">
          <w:rPr>
            <w:rStyle w:val="Hyperlink"/>
            <w:color w:val="auto"/>
            <w:u w:val="none"/>
            <w:lang w:val="fr-CA"/>
          </w:rPr>
          <w:t>Liens connexes</w:t>
        </w:r>
      </w:hyperlink>
      <w:r w:rsidR="000B0756" w:rsidRPr="000B0756">
        <w:rPr>
          <w:lang w:val="fr-CA"/>
        </w:rPr>
        <w:t xml:space="preserve"> de ce mémorandum.</w:t>
      </w:r>
    </w:p>
    <w:p w14:paraId="1B1A5B41" w14:textId="398C6EC8" w:rsidR="000B0756" w:rsidRPr="00447EBA" w:rsidRDefault="000B0756" w:rsidP="007D6D16">
      <w:pPr>
        <w:pStyle w:val="Heading3"/>
      </w:pPr>
      <w:bookmarkStart w:id="26" w:name="SH12"/>
      <w:r w:rsidRPr="00447EBA">
        <w:t>Estampillage des produits de vapotage</w:t>
      </w:r>
      <w:bookmarkEnd w:id="26"/>
      <w:r w:rsidR="00A34408">
        <w:t xml:space="preserve"> </w:t>
      </w:r>
    </w:p>
    <w:p w14:paraId="4A72848D" w14:textId="5794B61C" w:rsidR="00CE09BD" w:rsidRPr="00DD751B" w:rsidRDefault="00C02BE0" w:rsidP="00CE09BD">
      <w:pPr>
        <w:rPr>
          <w:lang w:val="fr-CA"/>
        </w:rPr>
      </w:pPr>
      <w:r w:rsidRPr="00CE70F3">
        <w:rPr>
          <w:lang w:val="fr-CA"/>
        </w:rPr>
        <w:t>31</w:t>
      </w:r>
      <w:r w:rsidR="000B0756" w:rsidRPr="00CE70F3">
        <w:rPr>
          <w:lang w:val="fr-CA"/>
        </w:rPr>
        <w:t>.</w:t>
      </w:r>
      <w:r w:rsidR="000B0756" w:rsidRPr="00E83D9A">
        <w:rPr>
          <w:lang w:val="fr-CA"/>
        </w:rPr>
        <w:t xml:space="preserve"> Tous</w:t>
      </w:r>
      <w:r w:rsidR="000B0756" w:rsidRPr="000B0756">
        <w:rPr>
          <w:lang w:val="fr-CA"/>
        </w:rPr>
        <w:t xml:space="preserve"> les produits de vapotage emballés qui entrent dans le marché canadien des marchandises acquittées doivent porter un timbre d’accise de vapotage, à moins qu’une des exceptions mentionnées </w:t>
      </w:r>
      <w:r w:rsidR="000B0756" w:rsidRPr="00065143">
        <w:rPr>
          <w:lang w:val="fr-CA"/>
        </w:rPr>
        <w:t xml:space="preserve">dans la section </w:t>
      </w:r>
      <w:r w:rsidR="000B0756" w:rsidRPr="008A1CAC">
        <w:rPr>
          <w:i/>
          <w:lang w:val="fr-CA"/>
        </w:rPr>
        <w:t>Estampillage des produits de vapotage – exceptions</w:t>
      </w:r>
      <w:r w:rsidR="000B0756" w:rsidRPr="00065143">
        <w:rPr>
          <w:lang w:val="fr-CA"/>
        </w:rPr>
        <w:t xml:space="preserve"> de ce mémorandum ne s’applique.</w:t>
      </w:r>
      <w:r w:rsidR="00CE09BD">
        <w:rPr>
          <w:lang w:val="fr-CA"/>
        </w:rPr>
        <w:t xml:space="preserve"> </w:t>
      </w:r>
      <w:r w:rsidR="00CE09BD" w:rsidRPr="007C2FC7">
        <w:rPr>
          <w:highlight w:val="yellow"/>
          <w:lang w:val="fr-CA"/>
        </w:rPr>
        <w:t>Si le</w:t>
      </w:r>
      <w:r w:rsidR="00980889" w:rsidRPr="007C2FC7">
        <w:rPr>
          <w:highlight w:val="yellow"/>
          <w:lang w:val="fr-CA"/>
        </w:rPr>
        <w:t>s</w:t>
      </w:r>
      <w:r w:rsidR="00CE09BD" w:rsidRPr="007C2FC7">
        <w:rPr>
          <w:highlight w:val="yellow"/>
          <w:lang w:val="fr-CA"/>
        </w:rPr>
        <w:t xml:space="preserve"> produit</w:t>
      </w:r>
      <w:r w:rsidR="00980889" w:rsidRPr="007C2FC7">
        <w:rPr>
          <w:highlight w:val="yellow"/>
          <w:lang w:val="fr-CA"/>
        </w:rPr>
        <w:t>s</w:t>
      </w:r>
      <w:r w:rsidR="00CE09BD" w:rsidRPr="007C2FC7">
        <w:rPr>
          <w:highlight w:val="yellow"/>
          <w:lang w:val="fr-CA"/>
        </w:rPr>
        <w:t xml:space="preserve"> de vapotage emballé</w:t>
      </w:r>
      <w:r w:rsidR="00980889" w:rsidRPr="007C2FC7">
        <w:rPr>
          <w:highlight w:val="yellow"/>
          <w:lang w:val="fr-CA"/>
        </w:rPr>
        <w:t>s</w:t>
      </w:r>
      <w:r w:rsidR="00CE09BD" w:rsidRPr="007C2FC7">
        <w:rPr>
          <w:highlight w:val="yellow"/>
          <w:lang w:val="fr-CA"/>
        </w:rPr>
        <w:t xml:space="preserve"> </w:t>
      </w:r>
      <w:r w:rsidR="00025809" w:rsidRPr="00CE70F3">
        <w:rPr>
          <w:highlight w:val="yellow"/>
          <w:lang w:val="fr-CA"/>
        </w:rPr>
        <w:t xml:space="preserve">sont </w:t>
      </w:r>
      <w:r w:rsidR="00980889" w:rsidRPr="00CE70F3">
        <w:rPr>
          <w:highlight w:val="yellow"/>
          <w:lang w:val="fr-CA"/>
        </w:rPr>
        <w:t>destiné</w:t>
      </w:r>
      <w:r w:rsidR="00980889" w:rsidRPr="007C2FC7">
        <w:rPr>
          <w:highlight w:val="yellow"/>
          <w:lang w:val="fr-CA"/>
        </w:rPr>
        <w:t>s</w:t>
      </w:r>
      <w:r w:rsidR="00980889" w:rsidRPr="00CE70F3">
        <w:rPr>
          <w:highlight w:val="yellow"/>
          <w:lang w:val="fr-CA"/>
        </w:rPr>
        <w:t xml:space="preserve"> au</w:t>
      </w:r>
      <w:r w:rsidR="00641179" w:rsidRPr="007C2FC7">
        <w:rPr>
          <w:highlight w:val="yellow"/>
          <w:lang w:val="fr-CA"/>
        </w:rPr>
        <w:t xml:space="preserve"> </w:t>
      </w:r>
      <w:r w:rsidR="00CE09BD" w:rsidRPr="007C2FC7">
        <w:rPr>
          <w:highlight w:val="yellow"/>
          <w:lang w:val="fr-CA"/>
        </w:rPr>
        <w:t>marché canadien des marchandises acquittées d'une province déterminée de vapotage, il</w:t>
      </w:r>
      <w:r w:rsidR="00980889" w:rsidRPr="007C2FC7">
        <w:rPr>
          <w:highlight w:val="yellow"/>
          <w:lang w:val="fr-CA"/>
        </w:rPr>
        <w:t>s</w:t>
      </w:r>
      <w:r w:rsidR="00CE09BD" w:rsidRPr="007C2FC7">
        <w:rPr>
          <w:highlight w:val="yellow"/>
          <w:lang w:val="fr-CA"/>
        </w:rPr>
        <w:t xml:space="preserve"> doi</w:t>
      </w:r>
      <w:r w:rsidR="00980889" w:rsidRPr="007C2FC7">
        <w:rPr>
          <w:highlight w:val="yellow"/>
          <w:lang w:val="fr-CA"/>
        </w:rPr>
        <w:t>ven</w:t>
      </w:r>
      <w:r w:rsidR="00CE09BD" w:rsidRPr="007C2FC7">
        <w:rPr>
          <w:highlight w:val="yellow"/>
          <w:lang w:val="fr-CA"/>
        </w:rPr>
        <w:t>t être estampillé</w:t>
      </w:r>
      <w:r w:rsidR="00980889" w:rsidRPr="007C2FC7">
        <w:rPr>
          <w:highlight w:val="yellow"/>
          <w:lang w:val="fr-CA"/>
        </w:rPr>
        <w:t>s</w:t>
      </w:r>
      <w:r w:rsidR="00CE09BD" w:rsidRPr="007C2FC7">
        <w:rPr>
          <w:highlight w:val="yellow"/>
          <w:lang w:val="fr-CA"/>
        </w:rPr>
        <w:t xml:space="preserve"> pour </w:t>
      </w:r>
      <w:r w:rsidR="00CE09BD">
        <w:rPr>
          <w:highlight w:val="yellow"/>
          <w:lang w:val="fr-CA"/>
        </w:rPr>
        <w:t xml:space="preserve">indiquer que le </w:t>
      </w:r>
      <w:r w:rsidR="00CE09BD" w:rsidRPr="00966FD0">
        <w:rPr>
          <w:highlight w:val="yellow"/>
          <w:lang w:val="fr-CA"/>
        </w:rPr>
        <w:t xml:space="preserve">droit </w:t>
      </w:r>
      <w:r w:rsidR="00CE09BD" w:rsidRPr="00966FD0">
        <w:rPr>
          <w:rFonts w:eastAsia="Times New Roman" w:cs="Arial"/>
          <w:szCs w:val="24"/>
          <w:highlight w:val="yellow"/>
          <w:lang w:val="fr-CA" w:bidi="en-US"/>
        </w:rPr>
        <w:t>additionnel</w:t>
      </w:r>
      <w:r w:rsidR="00CE09BD" w:rsidRPr="00966FD0">
        <w:rPr>
          <w:highlight w:val="yellow"/>
          <w:lang w:val="fr-CA"/>
        </w:rPr>
        <w:t xml:space="preserve"> </w:t>
      </w:r>
      <w:r w:rsidR="005B42BB" w:rsidRPr="00966FD0">
        <w:rPr>
          <w:highlight w:val="yellow"/>
          <w:lang w:val="fr-CA"/>
        </w:rPr>
        <w:t xml:space="preserve">sur le vapotage </w:t>
      </w:r>
      <w:r w:rsidR="00CE09BD" w:rsidRPr="00DD751B">
        <w:rPr>
          <w:highlight w:val="yellow"/>
          <w:lang w:val="fr-CA"/>
        </w:rPr>
        <w:t>à l'égard de la pr</w:t>
      </w:r>
      <w:r w:rsidR="00CE09BD">
        <w:rPr>
          <w:highlight w:val="yellow"/>
          <w:lang w:val="fr-CA"/>
        </w:rPr>
        <w:t>ovince détermin</w:t>
      </w:r>
      <w:r w:rsidR="00CE09BD" w:rsidRPr="00C11072">
        <w:rPr>
          <w:highlight w:val="yellow"/>
          <w:lang w:val="fr-CA"/>
        </w:rPr>
        <w:t>ée</w:t>
      </w:r>
      <w:r w:rsidR="00CE09BD">
        <w:rPr>
          <w:highlight w:val="yellow"/>
          <w:lang w:val="fr-CA"/>
        </w:rPr>
        <w:t xml:space="preserve"> de vapotage a été payé</w:t>
      </w:r>
      <w:r w:rsidR="00CE09BD" w:rsidRPr="00DD751B">
        <w:rPr>
          <w:highlight w:val="yellow"/>
          <w:lang w:val="fr-CA"/>
        </w:rPr>
        <w:t>.</w:t>
      </w:r>
      <w:r w:rsidR="00CE09BD">
        <w:rPr>
          <w:lang w:val="fr-CA"/>
        </w:rPr>
        <w:t xml:space="preserve"> </w:t>
      </w:r>
    </w:p>
    <w:p w14:paraId="4B498194" w14:textId="17FD64CF" w:rsidR="004353D4" w:rsidRPr="00CE70F3" w:rsidRDefault="00C53FA2" w:rsidP="00DC01F8">
      <w:pPr>
        <w:rPr>
          <w:rFonts w:cs="Arial"/>
          <w:szCs w:val="24"/>
          <w:lang w:val="fr-CA"/>
        </w:rPr>
      </w:pPr>
      <w:r>
        <w:rPr>
          <w:lang w:val="fr-CA"/>
        </w:rPr>
        <w:t>32</w:t>
      </w:r>
      <w:r w:rsidR="000B0756" w:rsidRPr="00065143">
        <w:rPr>
          <w:lang w:val="fr-CA"/>
        </w:rPr>
        <w:t xml:space="preserve">. Selon l’article 158.47 de la </w:t>
      </w:r>
      <w:r w:rsidR="000B0756" w:rsidRPr="00065143">
        <w:rPr>
          <w:i/>
          <w:lang w:val="fr-CA"/>
        </w:rPr>
        <w:t>Loi sur l’accise de 2001</w:t>
      </w:r>
      <w:r w:rsidR="000B0756" w:rsidRPr="00065143">
        <w:rPr>
          <w:lang w:val="fr-CA"/>
        </w:rPr>
        <w:t xml:space="preserve">, un produit de vapotage qui est importé au Canada doit être emballé et estampillé avant d’obtenir la mainlevée au titre de la </w:t>
      </w:r>
      <w:r w:rsidR="000B0756" w:rsidRPr="00065143">
        <w:rPr>
          <w:i/>
          <w:lang w:val="fr-CA"/>
        </w:rPr>
        <w:t>Loi sur les douanes</w:t>
      </w:r>
      <w:r w:rsidR="000B0756" w:rsidRPr="00065143">
        <w:rPr>
          <w:lang w:val="fr-CA"/>
        </w:rPr>
        <w:t xml:space="preserve"> en vue de son entrée dans le marché canadien des marchandises acquittées à moins qu’il ne soit importé par un titulaire de licence de produits de </w:t>
      </w:r>
      <w:r w:rsidR="000B0756" w:rsidRPr="00E83D9A">
        <w:rPr>
          <w:lang w:val="fr-CA"/>
        </w:rPr>
        <w:t>vapotage en vue d’une fabrication ultérieure ou d’un estampillage par le titulaire de licence.</w:t>
      </w:r>
      <w:r w:rsidR="00E66917">
        <w:rPr>
          <w:lang w:val="fr-CA"/>
        </w:rPr>
        <w:t xml:space="preserve"> </w:t>
      </w:r>
      <w:r w:rsidR="00E66917" w:rsidRPr="00A86774">
        <w:rPr>
          <w:rFonts w:eastAsia="Times New Roman" w:cs="Arial"/>
          <w:szCs w:val="24"/>
          <w:highlight w:val="yellow"/>
          <w:lang w:val="fr-CA" w:bidi="en-US"/>
        </w:rPr>
        <w:t xml:space="preserve">Lorsque des produits de vapotage emballés destinés au </w:t>
      </w:r>
      <w:r w:rsidR="00E66917" w:rsidRPr="00A86774">
        <w:rPr>
          <w:highlight w:val="yellow"/>
          <w:lang w:val="fr-CA"/>
        </w:rPr>
        <w:t>marché canadien des marchandises acquittées d'une province déterminée de vapotage</w:t>
      </w:r>
      <w:r w:rsidR="00E66917" w:rsidRPr="00A86774">
        <w:rPr>
          <w:rFonts w:eastAsia="Times New Roman" w:cs="Arial"/>
          <w:szCs w:val="24"/>
          <w:highlight w:val="yellow"/>
          <w:lang w:val="fr-CA" w:bidi="en-US"/>
        </w:rPr>
        <w:t xml:space="preserve"> </w:t>
      </w:r>
      <w:r w:rsidR="00E66917" w:rsidRPr="00CE70F3">
        <w:rPr>
          <w:rFonts w:eastAsia="Times New Roman" w:cs="Arial"/>
          <w:szCs w:val="24"/>
          <w:highlight w:val="yellow"/>
          <w:lang w:val="fr-CA" w:bidi="en-US"/>
        </w:rPr>
        <w:t xml:space="preserve">portent le </w:t>
      </w:r>
      <w:r w:rsidR="0029201F" w:rsidRPr="00CE70F3">
        <w:rPr>
          <w:rFonts w:cs="Arial"/>
          <w:szCs w:val="24"/>
          <w:highlight w:val="yellow"/>
          <w:lang w:val="fr-CA"/>
        </w:rPr>
        <w:t>timbre de vapotage indicateur-CAN</w:t>
      </w:r>
      <w:r w:rsidR="004308EF" w:rsidRPr="00CE70F3">
        <w:rPr>
          <w:rFonts w:eastAsia="Times New Roman" w:cs="Arial"/>
          <w:szCs w:val="24"/>
          <w:highlight w:val="yellow"/>
          <w:lang w:val="fr-CA" w:bidi="en-US"/>
        </w:rPr>
        <w:t xml:space="preserve"> </w:t>
      </w:r>
      <w:r w:rsidR="00E66917" w:rsidRPr="00CE70F3">
        <w:rPr>
          <w:rFonts w:eastAsia="Times New Roman" w:cs="Arial"/>
          <w:szCs w:val="24"/>
          <w:highlight w:val="yellow"/>
          <w:lang w:val="fr-CA" w:bidi="en-US"/>
        </w:rPr>
        <w:t xml:space="preserve">mais ne portent pas le </w:t>
      </w:r>
      <w:r w:rsidR="003A0045" w:rsidRPr="00CE70F3">
        <w:rPr>
          <w:rFonts w:eastAsia="Times New Roman" w:cs="Arial"/>
          <w:szCs w:val="24"/>
          <w:highlight w:val="yellow"/>
          <w:lang w:val="fr-CA" w:bidi="en-US"/>
        </w:rPr>
        <w:t xml:space="preserve">timbre </w:t>
      </w:r>
      <w:r w:rsidR="002B5F1E" w:rsidRPr="00CE70F3">
        <w:rPr>
          <w:rFonts w:eastAsia="Times New Roman" w:cs="Arial"/>
          <w:szCs w:val="24"/>
          <w:highlight w:val="yellow"/>
          <w:lang w:val="fr-CA" w:bidi="en-US"/>
        </w:rPr>
        <w:t>PT-déterminés</w:t>
      </w:r>
      <w:r w:rsidR="00E66917" w:rsidRPr="00CE70F3">
        <w:rPr>
          <w:rFonts w:eastAsia="Times New Roman" w:cs="Arial"/>
          <w:szCs w:val="24"/>
          <w:highlight w:val="yellow"/>
          <w:lang w:val="fr-CA" w:bidi="en-US"/>
        </w:rPr>
        <w:t>, un titulaire de</w:t>
      </w:r>
      <w:r w:rsidR="00E66917" w:rsidRPr="002B5F1E">
        <w:rPr>
          <w:rFonts w:eastAsia="Times New Roman" w:cs="Arial"/>
          <w:szCs w:val="24"/>
          <w:highlight w:val="yellow"/>
          <w:lang w:val="fr-CA" w:bidi="en-US"/>
        </w:rPr>
        <w:t xml:space="preserve"> licence de produit de vapotage </w:t>
      </w:r>
      <w:r w:rsidR="00DC01F8" w:rsidRPr="00CE70F3">
        <w:rPr>
          <w:rFonts w:cs="Arial"/>
          <w:szCs w:val="24"/>
          <w:highlight w:val="yellow"/>
          <w:lang w:val="fr-CA"/>
        </w:rPr>
        <w:t xml:space="preserve">ne peut pas obtenir </w:t>
      </w:r>
      <w:r w:rsidR="004353D4" w:rsidRPr="00CE70F3">
        <w:rPr>
          <w:rFonts w:eastAsia="Times New Roman" w:cs="Arial"/>
          <w:szCs w:val="24"/>
          <w:highlight w:val="yellow"/>
          <w:lang w:val="fr-CA" w:bidi="en-US"/>
        </w:rPr>
        <w:t xml:space="preserve">la mainlevée des marchandises en vertu de la </w:t>
      </w:r>
      <w:r w:rsidR="004353D4" w:rsidRPr="00CE70F3">
        <w:rPr>
          <w:rFonts w:eastAsia="Times New Roman" w:cs="Arial"/>
          <w:i/>
          <w:szCs w:val="24"/>
          <w:highlight w:val="yellow"/>
          <w:lang w:val="fr-CA" w:bidi="en-US"/>
        </w:rPr>
        <w:t>Loi sur les douanes</w:t>
      </w:r>
      <w:r w:rsidR="001C681C" w:rsidRPr="00CE70F3">
        <w:rPr>
          <w:rFonts w:eastAsia="Times New Roman" w:cs="Arial"/>
          <w:szCs w:val="24"/>
          <w:highlight w:val="yellow"/>
          <w:lang w:val="fr-CA" w:bidi="en-US"/>
        </w:rPr>
        <w:t xml:space="preserve"> tant</w:t>
      </w:r>
      <w:r w:rsidR="004353D4" w:rsidRPr="00CE70F3">
        <w:rPr>
          <w:rFonts w:eastAsia="Times New Roman" w:cs="Arial"/>
          <w:szCs w:val="24"/>
          <w:highlight w:val="yellow"/>
          <w:lang w:val="fr-CA" w:bidi="en-US"/>
        </w:rPr>
        <w:t xml:space="preserve"> </w:t>
      </w:r>
      <w:r w:rsidR="00035CD9" w:rsidRPr="00CE70F3">
        <w:rPr>
          <w:rFonts w:eastAsia="Times New Roman" w:cs="Arial"/>
          <w:szCs w:val="24"/>
          <w:highlight w:val="yellow"/>
          <w:lang w:val="fr-CA" w:bidi="en-US"/>
        </w:rPr>
        <w:t xml:space="preserve">que </w:t>
      </w:r>
      <w:r w:rsidR="004353D4" w:rsidRPr="00CE70F3">
        <w:rPr>
          <w:rFonts w:eastAsia="Times New Roman" w:cs="Arial"/>
          <w:szCs w:val="24"/>
          <w:highlight w:val="yellow"/>
          <w:lang w:val="fr-CA" w:bidi="en-US"/>
        </w:rPr>
        <w:t xml:space="preserve">les produits de vapotage </w:t>
      </w:r>
      <w:r w:rsidR="005946B5" w:rsidRPr="00CE70F3">
        <w:rPr>
          <w:rFonts w:eastAsia="Times New Roman" w:cs="Arial"/>
          <w:szCs w:val="24"/>
          <w:highlight w:val="yellow"/>
          <w:lang w:val="fr-CA" w:bidi="en-US"/>
        </w:rPr>
        <w:t xml:space="preserve">ne </w:t>
      </w:r>
      <w:r w:rsidR="004353D4" w:rsidRPr="00CE70F3">
        <w:rPr>
          <w:rFonts w:eastAsia="Times New Roman" w:cs="Arial"/>
          <w:szCs w:val="24"/>
          <w:highlight w:val="yellow"/>
          <w:lang w:val="fr-CA" w:bidi="en-US"/>
        </w:rPr>
        <w:t xml:space="preserve">portent </w:t>
      </w:r>
      <w:r w:rsidR="005946B5" w:rsidRPr="00CE70F3">
        <w:rPr>
          <w:rFonts w:eastAsia="Times New Roman" w:cs="Arial"/>
          <w:szCs w:val="24"/>
          <w:highlight w:val="yellow"/>
          <w:lang w:val="fr-CA" w:bidi="en-US"/>
        </w:rPr>
        <w:t xml:space="preserve">pas </w:t>
      </w:r>
      <w:r w:rsidR="004353D4" w:rsidRPr="00CE70F3">
        <w:rPr>
          <w:rFonts w:eastAsia="Times New Roman" w:cs="Arial"/>
          <w:szCs w:val="24"/>
          <w:highlight w:val="yellow"/>
          <w:lang w:val="fr-CA" w:bidi="en-US"/>
        </w:rPr>
        <w:t xml:space="preserve">le </w:t>
      </w:r>
      <w:r w:rsidR="003A0045" w:rsidRPr="00CE70F3">
        <w:rPr>
          <w:rFonts w:eastAsia="Times New Roman" w:cs="Arial"/>
          <w:szCs w:val="24"/>
          <w:highlight w:val="yellow"/>
          <w:lang w:val="fr-CA" w:bidi="en-US"/>
        </w:rPr>
        <w:t xml:space="preserve">timbre </w:t>
      </w:r>
      <w:r w:rsidR="002B5F1E" w:rsidRPr="00CE70F3">
        <w:rPr>
          <w:rFonts w:eastAsia="Times New Roman" w:cs="Arial"/>
          <w:szCs w:val="24"/>
          <w:highlight w:val="yellow"/>
          <w:lang w:val="fr-CA" w:bidi="en-US"/>
        </w:rPr>
        <w:t>PT-déterminés</w:t>
      </w:r>
      <w:r w:rsidR="004353D4" w:rsidRPr="00CE70F3">
        <w:rPr>
          <w:rFonts w:eastAsia="Times New Roman" w:cs="Arial"/>
          <w:szCs w:val="24"/>
          <w:highlight w:val="yellow"/>
          <w:lang w:val="fr-CA" w:bidi="en-US"/>
        </w:rPr>
        <w:t xml:space="preserve">. Pour plus d’informations, consultez la section Importation de produits de vapotage non estampillés – destinés au marché canadien </w:t>
      </w:r>
      <w:r w:rsidR="004353D4" w:rsidRPr="00A86774">
        <w:rPr>
          <w:highlight w:val="yellow"/>
          <w:lang w:val="fr-CA"/>
        </w:rPr>
        <w:t>des marchandises acquittées</w:t>
      </w:r>
      <w:r w:rsidR="004353D4" w:rsidRPr="00CE70F3">
        <w:rPr>
          <w:rFonts w:eastAsia="Times New Roman" w:cs="Arial"/>
          <w:szCs w:val="24"/>
          <w:highlight w:val="yellow"/>
          <w:lang w:val="fr-CA" w:bidi="en-US"/>
        </w:rPr>
        <w:t xml:space="preserve"> de ce mémorandum</w:t>
      </w:r>
      <w:r w:rsidR="00A86774" w:rsidRPr="00CE70F3">
        <w:rPr>
          <w:rFonts w:eastAsia="Times New Roman" w:cs="Arial"/>
          <w:szCs w:val="24"/>
          <w:highlight w:val="yellow"/>
          <w:lang w:val="fr-CA" w:bidi="en-US"/>
        </w:rPr>
        <w:t>.</w:t>
      </w:r>
      <w:r w:rsidR="003A0045">
        <w:rPr>
          <w:rFonts w:eastAsia="Times New Roman" w:cs="Arial"/>
          <w:szCs w:val="24"/>
          <w:lang w:val="fr-CA" w:bidi="en-US"/>
        </w:rPr>
        <w:t xml:space="preserve"> </w:t>
      </w:r>
    </w:p>
    <w:p w14:paraId="16F39E9A" w14:textId="5512E960" w:rsidR="001C681C" w:rsidRPr="00CE70F3" w:rsidRDefault="00C53FA2" w:rsidP="00ED3C2A">
      <w:pPr>
        <w:rPr>
          <w:rFonts w:cs="Arial"/>
          <w:szCs w:val="24"/>
          <w:highlight w:val="yellow"/>
          <w:lang w:val="fr-CA"/>
        </w:rPr>
      </w:pPr>
      <w:r>
        <w:rPr>
          <w:lang w:val="fr-CA"/>
        </w:rPr>
        <w:t>33</w:t>
      </w:r>
      <w:r w:rsidR="000B0756" w:rsidRPr="00065143">
        <w:rPr>
          <w:lang w:val="fr-CA"/>
        </w:rPr>
        <w:t xml:space="preserve">. Selon l’article 158.51 de la </w:t>
      </w:r>
      <w:r w:rsidR="000B0756" w:rsidRPr="00065143">
        <w:rPr>
          <w:i/>
          <w:lang w:val="fr-CA"/>
        </w:rPr>
        <w:t>Loi sur l’accise de 2001</w:t>
      </w:r>
      <w:r w:rsidR="000B0756" w:rsidRPr="00065143">
        <w:rPr>
          <w:lang w:val="fr-CA"/>
        </w:rPr>
        <w:t>, Importations non conformes, si</w:t>
      </w:r>
      <w:r w:rsidR="000B0756" w:rsidRPr="000B0756">
        <w:rPr>
          <w:lang w:val="fr-CA"/>
        </w:rPr>
        <w:t xml:space="preserve"> une personne visée par règlement importe un produit de vapotage destiné au marché canadien des marchandises acquittées, qui est emballé sans être estampillé au moment de la déclaration à l’ASFC, ce dernier sera placé dans un entrepôt d’attente jusqu’à ce qu’il soit estampillé par l’importateur ou le propriétaire du produit de vapotage importé.</w:t>
      </w:r>
      <w:r w:rsidR="000A7012">
        <w:rPr>
          <w:lang w:val="fr-CA"/>
        </w:rPr>
        <w:t xml:space="preserve"> </w:t>
      </w:r>
      <w:r w:rsidR="000A7012" w:rsidRPr="00342FD7">
        <w:rPr>
          <w:rFonts w:eastAsia="Times New Roman" w:cs="Arial"/>
          <w:spacing w:val="2"/>
          <w:szCs w:val="24"/>
          <w:highlight w:val="yellow"/>
          <w:lang w:val="fr-CA" w:bidi="en-US"/>
        </w:rPr>
        <w:t xml:space="preserve">Lorsque des produits de vapotage emballés destinés au marché </w:t>
      </w:r>
      <w:r w:rsidR="000A7012" w:rsidRPr="00342FD7">
        <w:rPr>
          <w:highlight w:val="yellow"/>
          <w:lang w:val="fr-CA"/>
        </w:rPr>
        <w:t>canadien des marchandises acquittées d'une province déterminée de vapotage</w:t>
      </w:r>
      <w:r w:rsidR="000A7012" w:rsidRPr="00342FD7">
        <w:rPr>
          <w:rFonts w:eastAsia="Times New Roman" w:cs="Arial"/>
          <w:spacing w:val="2"/>
          <w:szCs w:val="24"/>
          <w:highlight w:val="yellow"/>
          <w:lang w:val="fr-CA" w:bidi="en-US"/>
        </w:rPr>
        <w:t xml:space="preserve"> </w:t>
      </w:r>
      <w:r w:rsidR="000A7012" w:rsidRPr="00CE70F3">
        <w:rPr>
          <w:rFonts w:eastAsia="Times New Roman" w:cs="Arial"/>
          <w:spacing w:val="2"/>
          <w:szCs w:val="24"/>
          <w:highlight w:val="yellow"/>
          <w:lang w:val="fr-CA" w:bidi="en-US"/>
        </w:rPr>
        <w:t xml:space="preserve">portent le </w:t>
      </w:r>
      <w:r w:rsidR="002048AC" w:rsidRPr="00CE70F3">
        <w:rPr>
          <w:rFonts w:cs="Arial"/>
          <w:szCs w:val="24"/>
          <w:highlight w:val="yellow"/>
          <w:lang w:val="fr-CA"/>
        </w:rPr>
        <w:t>timbre de vapotage indicateur-CAN</w:t>
      </w:r>
      <w:r w:rsidR="004308EF" w:rsidRPr="00CE70F3">
        <w:rPr>
          <w:rFonts w:eastAsia="Times New Roman" w:cs="Arial"/>
          <w:szCs w:val="24"/>
          <w:highlight w:val="yellow"/>
          <w:lang w:val="fr-CA" w:bidi="en-US"/>
        </w:rPr>
        <w:t xml:space="preserve"> </w:t>
      </w:r>
      <w:r w:rsidR="000A7012" w:rsidRPr="00CE70F3">
        <w:rPr>
          <w:rFonts w:eastAsia="Times New Roman" w:cs="Arial"/>
          <w:spacing w:val="2"/>
          <w:szCs w:val="24"/>
          <w:highlight w:val="yellow"/>
          <w:lang w:val="fr-CA" w:bidi="en-US"/>
        </w:rPr>
        <w:t xml:space="preserve">mais ne portent pas le </w:t>
      </w:r>
      <w:r w:rsidR="00EB6EAE" w:rsidRPr="00CE70F3">
        <w:rPr>
          <w:rFonts w:eastAsia="Times New Roman" w:cs="Arial"/>
          <w:szCs w:val="24"/>
          <w:highlight w:val="yellow"/>
          <w:lang w:val="fr-CA" w:bidi="en-US"/>
        </w:rPr>
        <w:t xml:space="preserve">timbre </w:t>
      </w:r>
      <w:r w:rsidR="002B5F1E" w:rsidRPr="00CE70F3">
        <w:rPr>
          <w:rFonts w:eastAsia="Times New Roman" w:cs="Arial"/>
          <w:szCs w:val="24"/>
          <w:highlight w:val="yellow"/>
          <w:lang w:val="fr-CA" w:bidi="en-US"/>
        </w:rPr>
        <w:t>PT-déterminés</w:t>
      </w:r>
      <w:r w:rsidR="000A7012" w:rsidRPr="00CE70F3">
        <w:rPr>
          <w:rFonts w:eastAsia="Times New Roman" w:cs="Arial"/>
          <w:spacing w:val="2"/>
          <w:szCs w:val="24"/>
          <w:highlight w:val="yellow"/>
          <w:lang w:val="fr-CA" w:bidi="en-US"/>
        </w:rPr>
        <w:t xml:space="preserve">, </w:t>
      </w:r>
      <w:r w:rsidR="00ED3C2A" w:rsidRPr="00CE70F3">
        <w:rPr>
          <w:rFonts w:cs="Arial"/>
          <w:szCs w:val="24"/>
          <w:highlight w:val="yellow"/>
          <w:lang w:val="fr-CA"/>
        </w:rPr>
        <w:t xml:space="preserve">la personne visée par règlement ne peut pas obtenir </w:t>
      </w:r>
      <w:r w:rsidR="001C681C" w:rsidRPr="00CE70F3">
        <w:rPr>
          <w:rFonts w:eastAsia="Times New Roman" w:cs="Arial"/>
          <w:spacing w:val="2"/>
          <w:szCs w:val="24"/>
          <w:highlight w:val="yellow"/>
          <w:lang w:val="fr-CA" w:bidi="en-US"/>
        </w:rPr>
        <w:t xml:space="preserve">la mainlevée des marchandises en vertu de la </w:t>
      </w:r>
      <w:r w:rsidR="001C681C" w:rsidRPr="00CE70F3">
        <w:rPr>
          <w:rFonts w:eastAsia="Times New Roman" w:cs="Arial"/>
          <w:i/>
          <w:spacing w:val="2"/>
          <w:szCs w:val="24"/>
          <w:highlight w:val="yellow"/>
          <w:lang w:val="fr-CA" w:bidi="en-US"/>
        </w:rPr>
        <w:t>Loi sur les douanes</w:t>
      </w:r>
      <w:r w:rsidR="001C681C" w:rsidRPr="00CE70F3">
        <w:rPr>
          <w:rFonts w:eastAsia="Times New Roman" w:cs="Arial"/>
          <w:spacing w:val="2"/>
          <w:szCs w:val="24"/>
          <w:highlight w:val="yellow"/>
          <w:lang w:val="fr-CA" w:bidi="en-US"/>
        </w:rPr>
        <w:t xml:space="preserve"> tant que les produits de vapotage ne </w:t>
      </w:r>
      <w:r w:rsidR="00D41F09" w:rsidRPr="00CE70F3">
        <w:rPr>
          <w:rFonts w:eastAsia="Times New Roman" w:cs="Arial"/>
          <w:szCs w:val="24"/>
          <w:highlight w:val="yellow"/>
          <w:lang w:val="fr-CA" w:bidi="en-US"/>
        </w:rPr>
        <w:t>sont pas estampillés avec</w:t>
      </w:r>
      <w:r w:rsidR="001C681C" w:rsidRPr="00CE70F3">
        <w:rPr>
          <w:rFonts w:eastAsia="Times New Roman" w:cs="Arial"/>
          <w:szCs w:val="24"/>
          <w:highlight w:val="yellow"/>
          <w:lang w:val="fr-CA" w:bidi="en-US"/>
        </w:rPr>
        <w:t xml:space="preserve"> le </w:t>
      </w:r>
      <w:r w:rsidR="00EB6EAE" w:rsidRPr="00CE70F3">
        <w:rPr>
          <w:rFonts w:eastAsia="Times New Roman" w:cs="Arial"/>
          <w:szCs w:val="24"/>
          <w:highlight w:val="yellow"/>
          <w:lang w:val="fr-CA" w:bidi="en-US"/>
        </w:rPr>
        <w:t xml:space="preserve">timbre </w:t>
      </w:r>
      <w:r w:rsidR="002B5F1E" w:rsidRPr="00CE70F3">
        <w:rPr>
          <w:rFonts w:eastAsia="Times New Roman" w:cs="Arial"/>
          <w:szCs w:val="24"/>
          <w:highlight w:val="yellow"/>
          <w:lang w:val="fr-CA" w:bidi="en-US"/>
        </w:rPr>
        <w:t>PT-déterminés</w:t>
      </w:r>
      <w:r w:rsidR="001C681C" w:rsidRPr="00CE70F3">
        <w:rPr>
          <w:rFonts w:eastAsia="Times New Roman" w:cs="Arial"/>
          <w:spacing w:val="2"/>
          <w:szCs w:val="24"/>
          <w:highlight w:val="yellow"/>
          <w:lang w:val="fr-CA" w:bidi="en-US"/>
        </w:rPr>
        <w:t xml:space="preserve">. Pour plus d’informations, consultez la section Importation de produits de vapotage non estampillés – destinés au marché canadien </w:t>
      </w:r>
      <w:r w:rsidR="00D41F09" w:rsidRPr="00342FD7">
        <w:rPr>
          <w:highlight w:val="yellow"/>
          <w:lang w:val="fr-CA"/>
        </w:rPr>
        <w:t>des marchandises acquittées</w:t>
      </w:r>
      <w:r w:rsidR="001C681C" w:rsidRPr="00CE70F3">
        <w:rPr>
          <w:rFonts w:eastAsia="Times New Roman" w:cs="Arial"/>
          <w:spacing w:val="2"/>
          <w:szCs w:val="24"/>
          <w:highlight w:val="yellow"/>
          <w:lang w:val="fr-CA" w:bidi="en-US"/>
        </w:rPr>
        <w:t xml:space="preserve"> de ce mémorandum. </w:t>
      </w:r>
    </w:p>
    <w:p w14:paraId="419DC2C3" w14:textId="1A270E8E" w:rsidR="000B0756" w:rsidRPr="000B0756" w:rsidRDefault="00C53FA2" w:rsidP="00A1330E">
      <w:pPr>
        <w:rPr>
          <w:lang w:val="fr-CA"/>
        </w:rPr>
      </w:pPr>
      <w:r>
        <w:rPr>
          <w:lang w:val="fr-CA"/>
        </w:rPr>
        <w:t>34</w:t>
      </w:r>
      <w:r w:rsidR="000B0756">
        <w:rPr>
          <w:lang w:val="fr-CA"/>
        </w:rPr>
        <w:t xml:space="preserve">. </w:t>
      </w:r>
      <w:r w:rsidR="000B0756" w:rsidRPr="000B0756">
        <w:rPr>
          <w:lang w:val="fr-CA"/>
        </w:rPr>
        <w:t xml:space="preserve">Selon l’article 158.511 de la </w:t>
      </w:r>
      <w:r w:rsidR="000B0756" w:rsidRPr="000B0756">
        <w:rPr>
          <w:i/>
          <w:lang w:val="fr-CA"/>
        </w:rPr>
        <w:t>Loi sur l’accise de 2001</w:t>
      </w:r>
      <w:r w:rsidR="000B0756" w:rsidRPr="000B0756">
        <w:rPr>
          <w:lang w:val="fr-CA"/>
        </w:rPr>
        <w:t xml:space="preserve">, si le titulaire de licence de produits de vapotage importe un produit de vapotage emballé pour estampillage, il doit, aussitôt après son dédouanement en vertu de la </w:t>
      </w:r>
      <w:r w:rsidR="000B0756" w:rsidRPr="00874893">
        <w:rPr>
          <w:i/>
          <w:lang w:val="fr-CA"/>
        </w:rPr>
        <w:t>Loi sur les douanes</w:t>
      </w:r>
      <w:r w:rsidR="000B0756" w:rsidRPr="000B0756">
        <w:rPr>
          <w:lang w:val="fr-CA"/>
        </w:rPr>
        <w:t>, le livrer dans ses locaux pour estampillage.</w:t>
      </w:r>
    </w:p>
    <w:p w14:paraId="5C458137" w14:textId="5682F0F1" w:rsidR="000B0756" w:rsidRDefault="00C53FA2" w:rsidP="000B0756">
      <w:pPr>
        <w:rPr>
          <w:lang w:val="fr-CA"/>
        </w:rPr>
      </w:pPr>
      <w:r>
        <w:rPr>
          <w:lang w:val="fr-CA"/>
        </w:rPr>
        <w:t>35</w:t>
      </w:r>
      <w:r w:rsidR="000B0756">
        <w:rPr>
          <w:lang w:val="fr-CA"/>
        </w:rPr>
        <w:t xml:space="preserve">. </w:t>
      </w:r>
      <w:r w:rsidR="000B0756" w:rsidRPr="000B0756">
        <w:rPr>
          <w:lang w:val="fr-CA"/>
        </w:rPr>
        <w:t xml:space="preserve">L’article 4.2 du </w:t>
      </w:r>
      <w:r w:rsidR="000B0756" w:rsidRPr="000B0756">
        <w:rPr>
          <w:i/>
          <w:lang w:val="fr-CA"/>
        </w:rPr>
        <w:t>Règlement sur l’estampillage et le marquage des produits du tabac, du cannabis et de vapotage</w:t>
      </w:r>
      <w:r w:rsidR="000B0756" w:rsidRPr="000B0756">
        <w:rPr>
          <w:lang w:val="fr-CA"/>
        </w:rPr>
        <w:t>, exige que le timbre doit être apposé comme suit :</w:t>
      </w:r>
    </w:p>
    <w:p w14:paraId="717AF4AB" w14:textId="43EA8B6B" w:rsidR="000B0756" w:rsidRDefault="000A24DF" w:rsidP="002816F4">
      <w:pPr>
        <w:ind w:left="284"/>
        <w:rPr>
          <w:lang w:val="fr-CA"/>
        </w:rPr>
      </w:pPr>
      <w:r>
        <w:rPr>
          <w:lang w:val="fr-CA"/>
        </w:rPr>
        <w:t xml:space="preserve">a) </w:t>
      </w:r>
      <w:r w:rsidR="000B0756" w:rsidRPr="000B0756">
        <w:rPr>
          <w:lang w:val="fr-CA"/>
        </w:rPr>
        <w:t>dans un endroit bien en vue sur l’emballage</w:t>
      </w:r>
    </w:p>
    <w:p w14:paraId="15092E39" w14:textId="71654268" w:rsidR="000B0756" w:rsidRDefault="000A24DF" w:rsidP="002816F4">
      <w:pPr>
        <w:ind w:left="284"/>
        <w:rPr>
          <w:lang w:val="fr-CA"/>
        </w:rPr>
      </w:pPr>
      <w:r>
        <w:rPr>
          <w:lang w:val="fr-CA"/>
        </w:rPr>
        <w:t xml:space="preserve">b) </w:t>
      </w:r>
      <w:r w:rsidR="000B0756" w:rsidRPr="000B0756">
        <w:rPr>
          <w:lang w:val="fr-CA"/>
        </w:rPr>
        <w:t>de manière à cacheter l’emballage</w:t>
      </w:r>
    </w:p>
    <w:p w14:paraId="1C3EFBFA" w14:textId="4439EB66" w:rsidR="000B0756" w:rsidRDefault="000A24DF" w:rsidP="002816F4">
      <w:pPr>
        <w:ind w:left="284"/>
        <w:rPr>
          <w:lang w:val="fr-CA"/>
        </w:rPr>
      </w:pPr>
      <w:r>
        <w:rPr>
          <w:lang w:val="fr-CA"/>
        </w:rPr>
        <w:t xml:space="preserve">d) </w:t>
      </w:r>
      <w:r w:rsidR="000B0756" w:rsidRPr="000B0756">
        <w:rPr>
          <w:lang w:val="fr-CA"/>
        </w:rPr>
        <w:t>de manière à ce qu’il reste fixé à l’emballage après son ouverture</w:t>
      </w:r>
    </w:p>
    <w:p w14:paraId="3755734C" w14:textId="5B971B80" w:rsidR="000B0756" w:rsidRDefault="000A24DF" w:rsidP="002816F4">
      <w:pPr>
        <w:ind w:left="284"/>
        <w:rPr>
          <w:lang w:val="fr-CA"/>
        </w:rPr>
      </w:pPr>
      <w:r>
        <w:rPr>
          <w:lang w:val="fr-CA"/>
        </w:rPr>
        <w:t xml:space="preserve">e) </w:t>
      </w:r>
      <w:r w:rsidR="000B0756" w:rsidRPr="000B0756">
        <w:rPr>
          <w:lang w:val="fr-CA"/>
        </w:rPr>
        <w:t>de manière à ne pas nuire à ses propres caractéristiques de sécurité</w:t>
      </w:r>
    </w:p>
    <w:p w14:paraId="6434FD67" w14:textId="384B6075" w:rsidR="000B0756" w:rsidRPr="000B0756" w:rsidRDefault="000A24DF" w:rsidP="002816F4">
      <w:pPr>
        <w:ind w:left="284"/>
        <w:rPr>
          <w:lang w:val="fr-CA"/>
        </w:rPr>
      </w:pPr>
      <w:r>
        <w:rPr>
          <w:lang w:val="fr-CA"/>
        </w:rPr>
        <w:t xml:space="preserve">f) </w:t>
      </w:r>
      <w:r w:rsidR="000B0756" w:rsidRPr="000B0756">
        <w:rPr>
          <w:lang w:val="fr-CA"/>
        </w:rPr>
        <w:t>de façon à ne pas obstruer les renseignements devant figurer sur l’emballage en application d’une loi fédérale</w:t>
      </w:r>
    </w:p>
    <w:p w14:paraId="501C45FE" w14:textId="04939316" w:rsidR="005D53BD" w:rsidRPr="00CE70F3" w:rsidRDefault="00C53FA2" w:rsidP="002B5F1E">
      <w:pPr>
        <w:rPr>
          <w:rStyle w:val="Heading3Char"/>
          <w:b w:val="0"/>
          <w:sz w:val="24"/>
          <w:szCs w:val="24"/>
          <w:highlight w:val="yellow"/>
        </w:rPr>
      </w:pPr>
      <w:r w:rsidRPr="00CE70F3">
        <w:rPr>
          <w:szCs w:val="24"/>
          <w:lang w:val="fr-CA"/>
        </w:rPr>
        <w:t>36</w:t>
      </w:r>
      <w:r w:rsidR="000B0756" w:rsidRPr="00CE70F3">
        <w:rPr>
          <w:szCs w:val="24"/>
          <w:lang w:val="fr-CA"/>
        </w:rPr>
        <w:t>. Exemple</w:t>
      </w:r>
      <w:r w:rsidR="005D53BD" w:rsidRPr="00CE70F3">
        <w:rPr>
          <w:szCs w:val="24"/>
          <w:lang w:val="fr-CA"/>
        </w:rPr>
        <w:t>s</w:t>
      </w:r>
      <w:r w:rsidR="000B0756" w:rsidRPr="00CE70F3">
        <w:rPr>
          <w:szCs w:val="24"/>
          <w:lang w:val="fr-CA"/>
        </w:rPr>
        <w:t xml:space="preserve"> du timbre de vapotage</w:t>
      </w:r>
      <w:r w:rsidR="000D1A21" w:rsidRPr="00CE70F3">
        <w:rPr>
          <w:szCs w:val="24"/>
          <w:lang w:val="fr-CA"/>
        </w:rPr>
        <w:t> :</w:t>
      </w:r>
      <w:r w:rsidR="000B0756" w:rsidRPr="00CE70F3">
        <w:rPr>
          <w:szCs w:val="24"/>
          <w:lang w:val="fr-CA"/>
        </w:rPr>
        <w:t xml:space="preserve"> </w:t>
      </w:r>
      <w:r w:rsidR="00C663C1" w:rsidRPr="00CE70F3">
        <w:rPr>
          <w:rFonts w:cs="Arial"/>
          <w:szCs w:val="24"/>
          <w:lang w:val="fr-CA"/>
        </w:rPr>
        <w:t xml:space="preserve">timbre de vapotage indicateur-CAN </w:t>
      </w:r>
      <w:r w:rsidR="005D53BD" w:rsidRPr="00CE70F3">
        <w:rPr>
          <w:rStyle w:val="Heading3Char"/>
          <w:b w:val="0"/>
          <w:sz w:val="24"/>
          <w:szCs w:val="24"/>
        </w:rPr>
        <w:t xml:space="preserve">et </w:t>
      </w:r>
      <w:r w:rsidR="004308EF" w:rsidRPr="00CE70F3">
        <w:rPr>
          <w:rStyle w:val="Heading3Char"/>
          <w:b w:val="0"/>
          <w:sz w:val="24"/>
          <w:szCs w:val="24"/>
        </w:rPr>
        <w:t xml:space="preserve"> </w:t>
      </w:r>
      <w:r w:rsidR="000D1A21" w:rsidRPr="00CE70F3">
        <w:rPr>
          <w:rFonts w:eastAsia="Times New Roman" w:cs="Arial"/>
          <w:szCs w:val="24"/>
          <w:lang w:val="fr-CA" w:bidi="en-US"/>
        </w:rPr>
        <w:t xml:space="preserve">timbre </w:t>
      </w:r>
      <w:r w:rsidR="002B5F1E" w:rsidRPr="00CE70F3">
        <w:rPr>
          <w:rFonts w:eastAsia="Times New Roman" w:cs="Arial"/>
          <w:szCs w:val="24"/>
          <w:lang w:val="fr-CA" w:bidi="en-US"/>
        </w:rPr>
        <w:t xml:space="preserve">PT-déterminés </w:t>
      </w:r>
      <w:r w:rsidR="004308EF" w:rsidRPr="00CE70F3">
        <w:rPr>
          <w:rStyle w:val="Heading3Char"/>
          <w:b w:val="0"/>
          <w:sz w:val="24"/>
          <w:szCs w:val="24"/>
          <w:highlight w:val="magenta"/>
        </w:rPr>
        <w:t>(à venir)</w:t>
      </w:r>
    </w:p>
    <w:p w14:paraId="306802C6" w14:textId="742B51EB" w:rsidR="003B2E83" w:rsidRDefault="003B2E83" w:rsidP="000B0756">
      <w:pPr>
        <w:rPr>
          <w:lang w:val="fr-CA"/>
        </w:rPr>
      </w:pPr>
    </w:p>
    <w:p w14:paraId="62D4E604" w14:textId="16C3866D" w:rsidR="002477A1" w:rsidRDefault="002477A1" w:rsidP="002477A1">
      <w:pPr>
        <w:rPr>
          <w:lang w:val="fr-CA"/>
        </w:rPr>
      </w:pPr>
      <w:r w:rsidRPr="008D180F">
        <w:rPr>
          <w:noProof/>
          <w:spacing w:val="-3"/>
          <w:lang w:eastAsia="zh-CN"/>
        </w:rPr>
        <w:lastRenderedPageBreak/>
        <w:drawing>
          <wp:anchor distT="0" distB="0" distL="0" distR="0" simplePos="0" relativeHeight="251661312" behindDoc="0" locked="0" layoutInCell="1" allowOverlap="1" wp14:anchorId="44AD349C" wp14:editId="0C5F7F34">
            <wp:simplePos x="0" y="0"/>
            <wp:positionH relativeFrom="page">
              <wp:posOffset>1042416</wp:posOffset>
            </wp:positionH>
            <wp:positionV relativeFrom="paragraph">
              <wp:posOffset>343890</wp:posOffset>
            </wp:positionV>
            <wp:extent cx="2775446" cy="141922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2775446" cy="1419225"/>
                    </a:xfrm>
                    <a:prstGeom prst="rect">
                      <a:avLst/>
                    </a:prstGeom>
                  </pic:spPr>
                </pic:pic>
              </a:graphicData>
            </a:graphic>
            <wp14:sizeRelV relativeFrom="margin">
              <wp14:pctHeight>0</wp14:pctHeight>
            </wp14:sizeRelV>
          </wp:anchor>
        </w:drawing>
      </w:r>
    </w:p>
    <w:p w14:paraId="5E0AE07A" w14:textId="77777777" w:rsidR="000A24DF" w:rsidRDefault="000A24DF" w:rsidP="000A24DF">
      <w:pPr>
        <w:rPr>
          <w:lang w:val="fr-CA"/>
        </w:rPr>
      </w:pPr>
      <w:r w:rsidRPr="000A24DF">
        <w:rPr>
          <w:lang w:val="fr-CA"/>
        </w:rPr>
        <w:t xml:space="preserve">Timbre d’accise de vapotage — Version textuelle </w:t>
      </w:r>
    </w:p>
    <w:p w14:paraId="2100A68A" w14:textId="3B2A3A49" w:rsidR="000A24DF" w:rsidRPr="008D5DBB" w:rsidRDefault="000A24DF" w:rsidP="000A24DF">
      <w:pPr>
        <w:rPr>
          <w:rFonts w:cs="Arial"/>
          <w:szCs w:val="24"/>
          <w:lang w:val="fr-CA"/>
        </w:rPr>
      </w:pPr>
      <w:r w:rsidRPr="008D5DBB">
        <w:rPr>
          <w:rFonts w:cs="Arial"/>
          <w:szCs w:val="24"/>
          <w:lang w:val="fr-CA"/>
        </w:rPr>
        <w:t>Type de timbre</w:t>
      </w:r>
    </w:p>
    <w:p w14:paraId="3101B48E" w14:textId="77777777" w:rsidR="000A24DF" w:rsidRPr="008D5DBB" w:rsidRDefault="000A24DF" w:rsidP="000A24DF">
      <w:pPr>
        <w:rPr>
          <w:rFonts w:cs="Arial"/>
          <w:szCs w:val="24"/>
          <w:lang w:val="fr-CA"/>
        </w:rPr>
      </w:pPr>
      <w:r w:rsidRPr="008D5DBB">
        <w:rPr>
          <w:rFonts w:cs="Arial"/>
          <w:szCs w:val="24"/>
          <w:lang w:val="fr-CA"/>
        </w:rPr>
        <w:t>Jeu de ligne anti-copie</w:t>
      </w:r>
    </w:p>
    <w:p w14:paraId="29787CCF" w14:textId="77777777" w:rsidR="000A24DF" w:rsidRPr="008D5DBB" w:rsidRDefault="000A24DF" w:rsidP="000A24DF">
      <w:pPr>
        <w:rPr>
          <w:rFonts w:cs="Arial"/>
          <w:szCs w:val="24"/>
          <w:lang w:val="fr-CA"/>
        </w:rPr>
      </w:pPr>
      <w:r w:rsidRPr="008D5DBB">
        <w:rPr>
          <w:rFonts w:cs="Arial"/>
          <w:szCs w:val="24"/>
          <w:lang w:val="fr-CA"/>
        </w:rPr>
        <w:t>Identificateur de l’administration</w:t>
      </w:r>
    </w:p>
    <w:p w14:paraId="0E58E725" w14:textId="77777777" w:rsidR="000A24DF" w:rsidRPr="008D5DBB" w:rsidRDefault="000A24DF" w:rsidP="000A24DF">
      <w:pPr>
        <w:rPr>
          <w:rFonts w:cs="Arial"/>
          <w:szCs w:val="24"/>
          <w:lang w:val="fr-CA"/>
        </w:rPr>
      </w:pPr>
      <w:r w:rsidRPr="008D5DBB">
        <w:rPr>
          <w:rFonts w:cs="Arial"/>
          <w:szCs w:val="24"/>
          <w:lang w:val="fr-CA"/>
        </w:rPr>
        <w:t>Identificateur unique</w:t>
      </w:r>
    </w:p>
    <w:p w14:paraId="03A83709" w14:textId="77777777" w:rsidR="000A24DF" w:rsidRPr="008D5DBB" w:rsidRDefault="000A24DF" w:rsidP="000A24DF">
      <w:pPr>
        <w:rPr>
          <w:rFonts w:cs="Arial"/>
          <w:szCs w:val="24"/>
          <w:lang w:val="fr-CA"/>
        </w:rPr>
      </w:pPr>
      <w:r w:rsidRPr="008D5DBB">
        <w:rPr>
          <w:rFonts w:cs="Arial"/>
          <w:szCs w:val="24"/>
          <w:lang w:val="fr-CA"/>
        </w:rPr>
        <w:t>Mention d’acquittement des droits fédéraux</w:t>
      </w:r>
    </w:p>
    <w:p w14:paraId="6753F769" w14:textId="77777777" w:rsidR="000A24DF" w:rsidRPr="008D5DBB" w:rsidRDefault="000A24DF" w:rsidP="000A24DF">
      <w:pPr>
        <w:rPr>
          <w:rFonts w:cs="Arial"/>
          <w:szCs w:val="24"/>
          <w:lang w:val="fr-CA"/>
        </w:rPr>
      </w:pPr>
      <w:r w:rsidRPr="008D5DBB">
        <w:rPr>
          <w:rFonts w:cs="Arial"/>
          <w:szCs w:val="24"/>
          <w:lang w:val="fr-CA"/>
        </w:rPr>
        <w:t>Image latente en creux</w:t>
      </w:r>
    </w:p>
    <w:p w14:paraId="1B475841" w14:textId="77777777" w:rsidR="000A24DF" w:rsidRPr="008D5DBB" w:rsidRDefault="000A24DF" w:rsidP="000A24DF">
      <w:pPr>
        <w:rPr>
          <w:rFonts w:cs="Arial"/>
          <w:szCs w:val="24"/>
          <w:lang w:val="fr-CA"/>
        </w:rPr>
      </w:pPr>
      <w:r w:rsidRPr="008D5DBB">
        <w:rPr>
          <w:rFonts w:cs="Arial"/>
          <w:szCs w:val="24"/>
          <w:lang w:val="fr-CA"/>
        </w:rPr>
        <w:t xml:space="preserve">Encre </w:t>
      </w:r>
      <w:r w:rsidRPr="008D5DBB">
        <w:rPr>
          <w:rFonts w:cs="Arial"/>
          <w:color w:val="333333"/>
          <w:szCs w:val="24"/>
          <w:shd w:val="clear" w:color="auto" w:fill="FFFFFF"/>
          <w:lang w:val="fr-CA"/>
        </w:rPr>
        <w:t>à</w:t>
      </w:r>
      <w:r w:rsidRPr="008D5DBB">
        <w:rPr>
          <w:rFonts w:cs="Arial"/>
          <w:szCs w:val="24"/>
          <w:lang w:val="fr-CA"/>
        </w:rPr>
        <w:t xml:space="preserve"> effet variable</w:t>
      </w:r>
    </w:p>
    <w:p w14:paraId="51CC4BD8" w14:textId="52E24DFD" w:rsidR="002477A1" w:rsidRDefault="002911AD" w:rsidP="002477A1">
      <w:pPr>
        <w:rPr>
          <w:lang w:val="fr-CA"/>
        </w:rPr>
      </w:pPr>
      <w:r>
        <w:rPr>
          <w:lang w:val="fr-CA"/>
        </w:rPr>
        <w:t>37</w:t>
      </w:r>
      <w:r w:rsidR="002477A1">
        <w:rPr>
          <w:lang w:val="fr-CA"/>
        </w:rPr>
        <w:t xml:space="preserve">. </w:t>
      </w:r>
      <w:r w:rsidR="002477A1" w:rsidRPr="002477A1">
        <w:rPr>
          <w:lang w:val="fr-CA"/>
        </w:rPr>
        <w:t xml:space="preserve">Pour plus de renseignements, consultez </w:t>
      </w:r>
      <w:r w:rsidR="002477A1" w:rsidRPr="00AA6401">
        <w:rPr>
          <w:i/>
          <w:lang w:val="fr-CA"/>
        </w:rPr>
        <w:t>l’avis sur les droits d’accise</w:t>
      </w:r>
      <w:r w:rsidR="002477A1" w:rsidRPr="002477A1">
        <w:rPr>
          <w:lang w:val="fr-CA"/>
        </w:rPr>
        <w:t xml:space="preserve"> </w:t>
      </w:r>
      <w:r w:rsidR="002477A1" w:rsidRPr="008A1CAC">
        <w:rPr>
          <w:i/>
          <w:lang w:val="fr-CA"/>
        </w:rPr>
        <w:t>EDN80, Aperçu des timbres d’accise de vapotage</w:t>
      </w:r>
      <w:r w:rsidR="002477A1" w:rsidRPr="002477A1">
        <w:rPr>
          <w:lang w:val="fr-CA"/>
        </w:rPr>
        <w:t xml:space="preserve">, au lien se trouvant dans la section </w:t>
      </w:r>
      <w:hyperlink w:anchor="Lienscommexes" w:history="1">
        <w:r w:rsidR="00EF1117" w:rsidRPr="00C50D39">
          <w:rPr>
            <w:rStyle w:val="Hyperlink"/>
            <w:color w:val="auto"/>
            <w:u w:val="none"/>
            <w:lang w:val="fr-CA"/>
          </w:rPr>
          <w:t>Liens connexes</w:t>
        </w:r>
      </w:hyperlink>
      <w:r w:rsidR="002477A1" w:rsidRPr="002477A1">
        <w:rPr>
          <w:lang w:val="fr-CA"/>
        </w:rPr>
        <w:t xml:space="preserve"> de ce mémorandum.</w:t>
      </w:r>
    </w:p>
    <w:p w14:paraId="59748122" w14:textId="3431E3F2" w:rsidR="00EE1613" w:rsidRPr="00447EBA" w:rsidRDefault="00EE1613" w:rsidP="007D6D16">
      <w:pPr>
        <w:pStyle w:val="Heading3"/>
      </w:pPr>
      <w:bookmarkStart w:id="27" w:name="SH13"/>
      <w:r w:rsidRPr="00447EBA">
        <w:t xml:space="preserve">Estampillage des produits de vapotage </w:t>
      </w:r>
      <w:r w:rsidR="00D7741E">
        <w:t>–</w:t>
      </w:r>
      <w:r w:rsidRPr="00447EBA">
        <w:t xml:space="preserve"> exceptions</w:t>
      </w:r>
      <w:bookmarkEnd w:id="27"/>
      <w:r w:rsidR="00D7741E">
        <w:t xml:space="preserve"> </w:t>
      </w:r>
    </w:p>
    <w:p w14:paraId="658ADCFA" w14:textId="0DF707BE" w:rsidR="00EE1613" w:rsidRPr="00EE1613" w:rsidRDefault="002911AD" w:rsidP="00EE1613">
      <w:pPr>
        <w:ind w:right="-232"/>
        <w:rPr>
          <w:lang w:val="fr-CA"/>
        </w:rPr>
      </w:pPr>
      <w:r>
        <w:rPr>
          <w:lang w:val="fr-CA"/>
        </w:rPr>
        <w:t>38</w:t>
      </w:r>
      <w:r w:rsidR="00EE1613">
        <w:rPr>
          <w:lang w:val="fr-CA"/>
        </w:rPr>
        <w:t xml:space="preserve">. </w:t>
      </w:r>
      <w:r w:rsidR="00EE1613" w:rsidRPr="00EE1613">
        <w:rPr>
          <w:lang w:val="fr-CA"/>
        </w:rPr>
        <w:t>Les produits de vapotage suivants ne nécessitent pas qu’on y appose un timbre d’accise de vapotage :</w:t>
      </w:r>
    </w:p>
    <w:p w14:paraId="1B4C44AE" w14:textId="742F43EB" w:rsidR="00EE1613" w:rsidRPr="00EE1613" w:rsidRDefault="000A24DF" w:rsidP="0009076B">
      <w:pPr>
        <w:ind w:left="284"/>
        <w:rPr>
          <w:lang w:val="fr-CA"/>
        </w:rPr>
      </w:pPr>
      <w:r>
        <w:rPr>
          <w:lang w:val="fr-CA"/>
        </w:rPr>
        <w:t xml:space="preserve">a) </w:t>
      </w:r>
      <w:r w:rsidR="00EE1613" w:rsidRPr="00EE1613">
        <w:rPr>
          <w:lang w:val="fr-CA"/>
        </w:rPr>
        <w:t xml:space="preserve">un produit de vapotage non estampillé qui est importé par un titulaire de licence de produits de vapotage en vue d’une fabrication ultérieure ou d’un estampillage par le titulaire de licence. Dans cette situation, le produit de vapotage devrait être estampillé par le titulaire de licence avant d’entrer sur le marché canadien des marchandises acquittées. Le produit de vapotage doit être estampillé avant la fin du deuxième mois civil qui suit celui au cours duquel le dédouanement du produit de vapotage est effectué par l’ASFC </w:t>
      </w:r>
    </w:p>
    <w:p w14:paraId="57F3833A" w14:textId="0A4AAF5B" w:rsidR="00EE1613" w:rsidRPr="00EE1613" w:rsidRDefault="000A24DF" w:rsidP="0009076B">
      <w:pPr>
        <w:ind w:left="284"/>
        <w:rPr>
          <w:lang w:val="fr-CA"/>
        </w:rPr>
      </w:pPr>
      <w:r>
        <w:rPr>
          <w:lang w:val="fr-CA"/>
        </w:rPr>
        <w:t xml:space="preserve">b) </w:t>
      </w:r>
      <w:r w:rsidR="00EE1613" w:rsidRPr="00EE1613">
        <w:rPr>
          <w:lang w:val="fr-CA"/>
        </w:rPr>
        <w:t>un produit de vapotage qui se trouve dans un entrepôt d’accise et qui est destiné à être exporté ou livré à un représentant accrédité (non destiné au marché canadien des marchandises acquittées) pour son usage officiel ou personnel</w:t>
      </w:r>
    </w:p>
    <w:p w14:paraId="33FE34DE" w14:textId="560127E1" w:rsidR="00EE1613" w:rsidRPr="00EE1613" w:rsidRDefault="000A24DF" w:rsidP="0009076B">
      <w:pPr>
        <w:ind w:left="284"/>
        <w:rPr>
          <w:lang w:val="fr-CA"/>
        </w:rPr>
      </w:pPr>
      <w:r>
        <w:rPr>
          <w:lang w:val="fr-CA"/>
        </w:rPr>
        <w:t xml:space="preserve">c) </w:t>
      </w:r>
      <w:r w:rsidR="00EE1613" w:rsidRPr="00EE1613">
        <w:rPr>
          <w:lang w:val="fr-CA"/>
        </w:rPr>
        <w:t xml:space="preserve">une drogue de produit de vapotage, à laquelle une identification numérique a été attribuée en application du </w:t>
      </w:r>
      <w:r w:rsidR="00EE1613" w:rsidRPr="00EE1613">
        <w:rPr>
          <w:i/>
          <w:lang w:val="fr-CA"/>
        </w:rPr>
        <w:t>Règlement sur les aliments et drogues</w:t>
      </w:r>
    </w:p>
    <w:p w14:paraId="3A3EF899" w14:textId="7AAEC861" w:rsidR="00EE1613" w:rsidRPr="00EE1613" w:rsidRDefault="000A24DF" w:rsidP="0009076B">
      <w:pPr>
        <w:ind w:left="284"/>
        <w:rPr>
          <w:lang w:val="fr-CA"/>
        </w:rPr>
      </w:pPr>
      <w:r>
        <w:rPr>
          <w:lang w:val="fr-CA"/>
        </w:rPr>
        <w:t xml:space="preserve">d) </w:t>
      </w:r>
      <w:r w:rsidR="00EE1613" w:rsidRPr="00EE1613">
        <w:rPr>
          <w:lang w:val="fr-CA"/>
        </w:rPr>
        <w:t>un produit de vapotage réimporté par un titulaire de licence de produits de vapotage pour être façonné de nouveau ou détruit d’une manière approuvée par l’ARC</w:t>
      </w:r>
    </w:p>
    <w:p w14:paraId="1CD3D828" w14:textId="2C3A39DD" w:rsidR="00EE1613" w:rsidRPr="00EE1613" w:rsidRDefault="000A24DF" w:rsidP="0009076B">
      <w:pPr>
        <w:ind w:left="284"/>
        <w:rPr>
          <w:lang w:val="fr-CA"/>
        </w:rPr>
      </w:pPr>
      <w:r>
        <w:rPr>
          <w:lang w:val="fr-CA"/>
        </w:rPr>
        <w:t xml:space="preserve">e) </w:t>
      </w:r>
      <w:r w:rsidR="00EE1613" w:rsidRPr="00EE1613">
        <w:rPr>
          <w:lang w:val="fr-CA"/>
        </w:rPr>
        <w:t xml:space="preserve">un produit de vapotage importé par un particulier pour son usage personnel en quantités ne dépassant pas les limites fixées aux termes de la sous-section 5.01 du </w:t>
      </w:r>
      <w:r w:rsidR="00EE1613" w:rsidRPr="00EE1613">
        <w:rPr>
          <w:i/>
          <w:lang w:val="fr-CA"/>
        </w:rPr>
        <w:t>Règlement sur l’estampillage et le marquage des produits du tabac, du cannabis et de vapotage</w:t>
      </w:r>
      <w:r w:rsidR="00EE1613" w:rsidRPr="00EE1613">
        <w:rPr>
          <w:lang w:val="fr-CA"/>
        </w:rPr>
        <w:t xml:space="preserve"> (la limite est de 5 unités)</w:t>
      </w:r>
    </w:p>
    <w:p w14:paraId="06183074" w14:textId="1342E07A" w:rsidR="00EE1613" w:rsidRPr="00194784" w:rsidRDefault="00E13831" w:rsidP="007D6D16">
      <w:pPr>
        <w:pStyle w:val="Heading3"/>
      </w:pPr>
      <w:bookmarkStart w:id="28" w:name="_Importation_de_produits"/>
      <w:bookmarkEnd w:id="28"/>
      <w:r w:rsidRPr="00117000">
        <w:t xml:space="preserve">Importation de produits de vapotage non estampillés – </w:t>
      </w:r>
      <w:r w:rsidR="0090008B" w:rsidRPr="00117000">
        <w:t>n</w:t>
      </w:r>
      <w:r w:rsidR="0090008B" w:rsidRPr="00194784">
        <w:t xml:space="preserve">on </w:t>
      </w:r>
      <w:r w:rsidRPr="00194784">
        <w:t xml:space="preserve">destinés au marché canadien des marchandises acquittées </w:t>
      </w:r>
      <w:r w:rsidR="00B2124B" w:rsidRPr="00194784">
        <w:t xml:space="preserve"> </w:t>
      </w:r>
    </w:p>
    <w:p w14:paraId="69079546" w14:textId="036BC7B1" w:rsidR="00EE1613" w:rsidRPr="00CE70F3" w:rsidRDefault="00EE1613" w:rsidP="00CE70F3">
      <w:pPr>
        <w:rPr>
          <w:b/>
          <w:lang w:val="fr-CA"/>
        </w:rPr>
      </w:pPr>
      <w:bookmarkStart w:id="29" w:name="SSH04"/>
      <w:r w:rsidRPr="00CE70F3">
        <w:rPr>
          <w:b/>
          <w:lang w:val="fr-CA"/>
        </w:rPr>
        <w:t>Entrepôt d’accise</w:t>
      </w:r>
      <w:bookmarkEnd w:id="29"/>
    </w:p>
    <w:p w14:paraId="62F6950A" w14:textId="2D0526D7" w:rsidR="00EE1613" w:rsidRPr="00EE1613" w:rsidRDefault="00A20876" w:rsidP="00EE1613">
      <w:pPr>
        <w:rPr>
          <w:lang w:val="fr-CA"/>
        </w:rPr>
      </w:pPr>
      <w:r>
        <w:rPr>
          <w:lang w:val="fr-CA"/>
        </w:rPr>
        <w:t>39</w:t>
      </w:r>
      <w:r w:rsidR="00EE1613">
        <w:rPr>
          <w:lang w:val="fr-CA"/>
        </w:rPr>
        <w:t xml:space="preserve">. </w:t>
      </w:r>
      <w:r w:rsidR="00EE1613" w:rsidRPr="00EE1613">
        <w:rPr>
          <w:lang w:val="fr-CA"/>
        </w:rPr>
        <w:t xml:space="preserve">Lorsque des produits de vapotage emballés sont importés et ne sont pas destinés au marché canadien des marchandises acquittées (destinés à l’exportation ou à la vente à un représentant accrédité) et qu’ils ne sont pas estampillés ils doivent immédiatement être marqués conformément aux articles 8 et 9 du </w:t>
      </w:r>
      <w:r w:rsidR="00EE1613" w:rsidRPr="00EE1613">
        <w:rPr>
          <w:i/>
          <w:lang w:val="fr-CA"/>
        </w:rPr>
        <w:t>Règlement sur l’estampillage et le marquage des produits du tabac, du cannabis et de vapotage</w:t>
      </w:r>
      <w:r w:rsidR="00EE1613" w:rsidRPr="00EE1613">
        <w:rPr>
          <w:lang w:val="fr-CA"/>
        </w:rPr>
        <w:t xml:space="preserve"> et placés dans un entrepôt d’accise.</w:t>
      </w:r>
    </w:p>
    <w:p w14:paraId="28C08F14" w14:textId="0A78F135" w:rsidR="00EE1613" w:rsidRPr="00EE1613" w:rsidRDefault="00A20876" w:rsidP="00EE1613">
      <w:pPr>
        <w:rPr>
          <w:lang w:val="fr-CA"/>
        </w:rPr>
      </w:pPr>
      <w:r>
        <w:rPr>
          <w:lang w:val="fr-CA"/>
        </w:rPr>
        <w:t>40</w:t>
      </w:r>
      <w:r w:rsidR="00EE1613">
        <w:rPr>
          <w:lang w:val="fr-CA"/>
        </w:rPr>
        <w:t xml:space="preserve">. </w:t>
      </w:r>
      <w:r w:rsidR="00EE1613" w:rsidRPr="00EE1613">
        <w:rPr>
          <w:lang w:val="fr-CA"/>
        </w:rPr>
        <w:t>Seuls les produits de vapotage emballés, marqués et non estampillés qui sont importés peuvent être déposés dans un entrepôt d’accise et exclusivement à des fins d’exportation, de vente à des représentants accrédités ou de livraison à un autre entrepôt d’accise</w:t>
      </w:r>
      <w:r w:rsidR="00EE1613" w:rsidRPr="00C73172">
        <w:rPr>
          <w:lang w:val="fr-CA"/>
        </w:rPr>
        <w:t xml:space="preserve"> (</w:t>
      </w:r>
      <w:r w:rsidR="00837A1D" w:rsidRPr="00C73172">
        <w:rPr>
          <w:lang w:val="fr-CA"/>
        </w:rPr>
        <w:t>non</w:t>
      </w:r>
      <w:r w:rsidR="00EE1613" w:rsidRPr="00C73172">
        <w:rPr>
          <w:lang w:val="fr-CA"/>
        </w:rPr>
        <w:t xml:space="preserve"> destinés au marché</w:t>
      </w:r>
      <w:r w:rsidR="00EE1613" w:rsidRPr="00EE1613">
        <w:rPr>
          <w:lang w:val="fr-CA"/>
        </w:rPr>
        <w:t xml:space="preserve"> canadien des marchandises importées). </w:t>
      </w:r>
    </w:p>
    <w:p w14:paraId="7E3DC210" w14:textId="5CD9F8BF" w:rsidR="00EE1613" w:rsidRPr="00EE1613" w:rsidRDefault="00A20876" w:rsidP="00EE1613">
      <w:pPr>
        <w:rPr>
          <w:lang w:val="fr-CA"/>
        </w:rPr>
      </w:pPr>
      <w:r>
        <w:rPr>
          <w:lang w:val="fr-CA"/>
        </w:rPr>
        <w:t>41</w:t>
      </w:r>
      <w:r w:rsidR="00EE1613">
        <w:rPr>
          <w:lang w:val="fr-CA"/>
        </w:rPr>
        <w:t xml:space="preserve">. </w:t>
      </w:r>
      <w:r w:rsidR="00EE1613" w:rsidRPr="00EE1613">
        <w:rPr>
          <w:lang w:val="fr-CA"/>
        </w:rPr>
        <w:t>Un entrepôt d'accise ne permet pas de reporter le paiement du droit sur le vapotage et les produits de vapotage importés ne peuvent pas être retirés d’un entrepôt d’accise pour être façonnés de nouveau ou destruction.</w:t>
      </w:r>
    </w:p>
    <w:p w14:paraId="224ACAD0" w14:textId="69D49E7E" w:rsidR="00EE1613" w:rsidRPr="00EE1613" w:rsidRDefault="00A20876" w:rsidP="00EE1613">
      <w:pPr>
        <w:rPr>
          <w:lang w:val="fr-CA"/>
        </w:rPr>
      </w:pPr>
      <w:r>
        <w:rPr>
          <w:lang w:val="fr-CA"/>
        </w:rPr>
        <w:t>42</w:t>
      </w:r>
      <w:r w:rsidR="00EE1613">
        <w:rPr>
          <w:lang w:val="fr-CA"/>
        </w:rPr>
        <w:t xml:space="preserve">. </w:t>
      </w:r>
      <w:r w:rsidR="00EE1613" w:rsidRPr="00EE1613">
        <w:rPr>
          <w:lang w:val="fr-CA"/>
        </w:rPr>
        <w:t>Le numéro d’agrément d'exploitant d'entrepôt d'accise doit être indiqué sur les documents de déclaratio</w:t>
      </w:r>
      <w:r w:rsidR="00982DBA">
        <w:rPr>
          <w:lang w:val="fr-CA"/>
        </w:rPr>
        <w:t xml:space="preserve">n des douanes au moment où les </w:t>
      </w:r>
      <w:r w:rsidR="00EE1613" w:rsidRPr="00EE1613">
        <w:rPr>
          <w:lang w:val="fr-CA"/>
        </w:rPr>
        <w:t>marchandises importées sont déclarées à l’</w:t>
      </w:r>
      <w:r w:rsidR="00982DBA">
        <w:rPr>
          <w:lang w:val="fr-CA"/>
        </w:rPr>
        <w:t xml:space="preserve">ASFC pour </w:t>
      </w:r>
      <w:r w:rsidR="00982DBA">
        <w:rPr>
          <w:lang w:val="fr-CA"/>
        </w:rPr>
        <w:lastRenderedPageBreak/>
        <w:t xml:space="preserve">obtenir la mainlevée </w:t>
      </w:r>
      <w:r w:rsidR="00EE1613" w:rsidRPr="00EE1613">
        <w:rPr>
          <w:lang w:val="fr-CA"/>
        </w:rPr>
        <w:t xml:space="preserve">en vertu de la </w:t>
      </w:r>
      <w:r w:rsidR="00EE1613" w:rsidRPr="00874893">
        <w:rPr>
          <w:i/>
          <w:lang w:val="fr-CA"/>
        </w:rPr>
        <w:t>Loi sur les douanes</w:t>
      </w:r>
      <w:r w:rsidR="00EE1613" w:rsidRPr="00EE1613">
        <w:rPr>
          <w:lang w:val="fr-CA"/>
        </w:rPr>
        <w:t>. Ces marchandises doivent être déposées dans l'entrepôt d'accise immédiatement après la mainlevée de l’ASFC.</w:t>
      </w:r>
    </w:p>
    <w:p w14:paraId="349B8C5A" w14:textId="1202B91C" w:rsidR="002477A1" w:rsidRDefault="00A20876" w:rsidP="00EE1613">
      <w:pPr>
        <w:rPr>
          <w:lang w:val="fr-CA"/>
        </w:rPr>
      </w:pPr>
      <w:r>
        <w:rPr>
          <w:lang w:val="fr-CA"/>
        </w:rPr>
        <w:t>43</w:t>
      </w:r>
      <w:r w:rsidR="00EE1613">
        <w:rPr>
          <w:lang w:val="fr-CA"/>
        </w:rPr>
        <w:t xml:space="preserve">. </w:t>
      </w:r>
      <w:r w:rsidR="00EA461A" w:rsidRPr="00EA461A">
        <w:rPr>
          <w:lang w:val="fr-CA"/>
        </w:rPr>
        <w:t xml:space="preserve">Le numéro d’agrément d’exploitant d’entrepôt d’accise doit être inscrit dans </w:t>
      </w:r>
      <w:r w:rsidR="00960475">
        <w:rPr>
          <w:lang w:val="fr-CA"/>
        </w:rPr>
        <w:t>le champ AUTORISATION SP</w:t>
      </w:r>
      <w:r w:rsidR="00960475">
        <w:rPr>
          <w:rFonts w:cs="Arial"/>
          <w:lang w:val="fr-CA"/>
        </w:rPr>
        <w:t>É</w:t>
      </w:r>
      <w:r w:rsidR="00960475">
        <w:rPr>
          <w:lang w:val="fr-CA"/>
        </w:rPr>
        <w:t xml:space="preserve">CIALE (champ </w:t>
      </w:r>
      <w:r w:rsidR="00960475" w:rsidRPr="00EA461A">
        <w:rPr>
          <w:lang w:val="fr-CA"/>
        </w:rPr>
        <w:t>26</w:t>
      </w:r>
      <w:r w:rsidR="00960475">
        <w:rPr>
          <w:lang w:val="fr-CA"/>
        </w:rPr>
        <w:t>)</w:t>
      </w:r>
      <w:r w:rsidR="00EA461A" w:rsidRPr="00EA461A">
        <w:rPr>
          <w:lang w:val="fr-CA"/>
        </w:rPr>
        <w:t xml:space="preserve"> du formulaire B3, Douanes Canada – Formule de codage. Le format de la licence exigée doit être 99-XXX-99999 ou 99-XX-99999. Tous ces chif</w:t>
      </w:r>
      <w:r w:rsidR="0021685D">
        <w:rPr>
          <w:lang w:val="fr-CA"/>
        </w:rPr>
        <w:t>fres doivent figurer dans le champ AUTORISATION SP</w:t>
      </w:r>
      <w:r w:rsidR="0021685D">
        <w:rPr>
          <w:rFonts w:cs="Arial"/>
          <w:lang w:val="fr-CA"/>
        </w:rPr>
        <w:t>É</w:t>
      </w:r>
      <w:r w:rsidR="0021685D">
        <w:rPr>
          <w:lang w:val="fr-CA"/>
        </w:rPr>
        <w:t xml:space="preserve">CIALE (champ </w:t>
      </w:r>
      <w:r w:rsidR="00EA461A" w:rsidRPr="00EA461A">
        <w:rPr>
          <w:lang w:val="fr-CA"/>
        </w:rPr>
        <w:t>26</w:t>
      </w:r>
      <w:r w:rsidR="0021685D">
        <w:rPr>
          <w:lang w:val="fr-CA"/>
        </w:rPr>
        <w:t>)</w:t>
      </w:r>
      <w:r w:rsidR="00EA461A" w:rsidRPr="00EA461A">
        <w:rPr>
          <w:lang w:val="fr-CA"/>
        </w:rPr>
        <w:t xml:space="preserve"> du formulaire B3, Douanes Canada – Formule de codage. Par exemple, si le format de licence est le 99-EWL-1, inscrivez dans </w:t>
      </w:r>
      <w:r w:rsidR="0021685D">
        <w:rPr>
          <w:lang w:val="fr-CA"/>
        </w:rPr>
        <w:t>le champ AUTORISATION SP</w:t>
      </w:r>
      <w:r w:rsidR="0021685D">
        <w:rPr>
          <w:rFonts w:cs="Arial"/>
          <w:lang w:val="fr-CA"/>
        </w:rPr>
        <w:t>É</w:t>
      </w:r>
      <w:r w:rsidR="0021685D">
        <w:rPr>
          <w:lang w:val="fr-CA"/>
        </w:rPr>
        <w:t>CIALE</w:t>
      </w:r>
      <w:r w:rsidR="0085404B">
        <w:rPr>
          <w:lang w:val="fr-CA"/>
        </w:rPr>
        <w:t xml:space="preserve"> (champ </w:t>
      </w:r>
      <w:r w:rsidR="0085404B" w:rsidRPr="00EA461A">
        <w:rPr>
          <w:lang w:val="fr-CA"/>
        </w:rPr>
        <w:t>26</w:t>
      </w:r>
      <w:r w:rsidR="0085404B">
        <w:rPr>
          <w:lang w:val="fr-CA"/>
        </w:rPr>
        <w:t>)</w:t>
      </w:r>
      <w:r w:rsidR="00EA461A" w:rsidRPr="00EA461A">
        <w:rPr>
          <w:lang w:val="fr-CA"/>
        </w:rPr>
        <w:t>, 99-EWL-00001.</w:t>
      </w:r>
      <w:r w:rsidR="00960475">
        <w:rPr>
          <w:lang w:val="fr-CA"/>
        </w:rPr>
        <w:t xml:space="preserve"> </w:t>
      </w:r>
    </w:p>
    <w:p w14:paraId="0F2B2801" w14:textId="0441E9A1" w:rsidR="0009076B" w:rsidRPr="00CE70F3" w:rsidRDefault="0009076B" w:rsidP="00CE70F3">
      <w:pPr>
        <w:rPr>
          <w:b/>
          <w:lang w:val="fr-CA"/>
        </w:rPr>
      </w:pPr>
      <w:bookmarkStart w:id="30" w:name="SSH05"/>
      <w:r w:rsidRPr="00CE70F3">
        <w:rPr>
          <w:b/>
          <w:lang w:val="fr-CA"/>
        </w:rPr>
        <w:t>Entrepôt de stockage des douanes</w:t>
      </w:r>
      <w:bookmarkEnd w:id="30"/>
    </w:p>
    <w:p w14:paraId="05D78A0B" w14:textId="708068EA" w:rsidR="0009076B" w:rsidRPr="0009076B" w:rsidRDefault="00A20876" w:rsidP="0009076B">
      <w:pPr>
        <w:rPr>
          <w:lang w:val="fr-CA"/>
        </w:rPr>
      </w:pPr>
      <w:r>
        <w:rPr>
          <w:lang w:val="fr-CA"/>
        </w:rPr>
        <w:t>44</w:t>
      </w:r>
      <w:r w:rsidR="0009076B">
        <w:rPr>
          <w:lang w:val="fr-CA"/>
        </w:rPr>
        <w:t xml:space="preserve">. </w:t>
      </w:r>
      <w:r w:rsidR="0009076B" w:rsidRPr="0009076B">
        <w:rPr>
          <w:lang w:val="fr-CA"/>
        </w:rPr>
        <w:t xml:space="preserve">Seuls les produits de vapotage marqués et non estampillés qui sont importés peuvent être déposés dans un entrepôt de stockage des douanes et exclusivement à des fins d’exportation ou de vente à des représentants accrédités. Pour plus de renseignements, consultez le </w:t>
      </w:r>
      <w:r w:rsidR="0009076B" w:rsidRPr="00BF0C01">
        <w:rPr>
          <w:i/>
          <w:lang w:val="fr-CA"/>
        </w:rPr>
        <w:t>Mémorandum D7-4-4, Entrepôts de stockage des douanes</w:t>
      </w:r>
      <w:r w:rsidR="0009076B" w:rsidRPr="0009076B">
        <w:rPr>
          <w:lang w:val="fr-CA"/>
        </w:rPr>
        <w:t xml:space="preserve">, au lien se trouvant dans la section </w:t>
      </w:r>
      <w:hyperlink w:anchor="Lienscommexes" w:history="1">
        <w:r w:rsidR="00D60F45" w:rsidRPr="00BF0C01">
          <w:rPr>
            <w:rStyle w:val="Hyperlink"/>
            <w:color w:val="auto"/>
            <w:u w:val="none"/>
            <w:lang w:val="fr-CA"/>
          </w:rPr>
          <w:t>Liens connexes</w:t>
        </w:r>
      </w:hyperlink>
      <w:r w:rsidR="0009076B" w:rsidRPr="00074000">
        <w:rPr>
          <w:lang w:val="fr-CA"/>
        </w:rPr>
        <w:t xml:space="preserve"> </w:t>
      </w:r>
      <w:r w:rsidR="0009076B" w:rsidRPr="0009076B">
        <w:rPr>
          <w:lang w:val="fr-CA"/>
        </w:rPr>
        <w:t>de ce mémorandum.</w:t>
      </w:r>
    </w:p>
    <w:p w14:paraId="38D772DB" w14:textId="62E6D826" w:rsidR="0009076B" w:rsidRPr="00447EBA" w:rsidRDefault="0009076B" w:rsidP="007D6D16">
      <w:pPr>
        <w:pStyle w:val="Heading3"/>
      </w:pPr>
      <w:bookmarkStart w:id="31" w:name="SH15"/>
      <w:r w:rsidRPr="00447EBA">
        <w:t>Importation de produits</w:t>
      </w:r>
      <w:r w:rsidR="00D5740D">
        <w:t xml:space="preserve"> de vapotage non estampillés – d</w:t>
      </w:r>
      <w:r w:rsidR="00982DBA">
        <w:t xml:space="preserve">estinés au marché canadien des </w:t>
      </w:r>
      <w:r w:rsidRPr="00447EBA">
        <w:t>marchandises acquittées</w:t>
      </w:r>
      <w:bookmarkEnd w:id="31"/>
      <w:r w:rsidR="005A1FB8">
        <w:t xml:space="preserve"> </w:t>
      </w:r>
    </w:p>
    <w:p w14:paraId="3C5E1180" w14:textId="1D1122BF" w:rsidR="0009076B" w:rsidRPr="0009076B" w:rsidRDefault="00D9688E" w:rsidP="0009076B">
      <w:pPr>
        <w:rPr>
          <w:lang w:val="fr-CA"/>
        </w:rPr>
      </w:pPr>
      <w:r>
        <w:rPr>
          <w:lang w:val="fr-CA"/>
        </w:rPr>
        <w:t>45</w:t>
      </w:r>
      <w:r w:rsidR="0009076B">
        <w:rPr>
          <w:lang w:val="fr-CA"/>
        </w:rPr>
        <w:t xml:space="preserve">. </w:t>
      </w:r>
      <w:r w:rsidR="0009076B" w:rsidRPr="0009076B">
        <w:rPr>
          <w:lang w:val="fr-CA"/>
        </w:rPr>
        <w:t xml:space="preserve">Lorsque des produits de vapotage emballés sont importés et sont destinés au marché canadien des marchandises acquittées et qu’ils ne sont pas </w:t>
      </w:r>
      <w:r w:rsidR="006966FD" w:rsidRPr="00CE70F3">
        <w:rPr>
          <w:highlight w:val="yellow"/>
          <w:lang w:val="fr-CA"/>
        </w:rPr>
        <w:t>du tout</w:t>
      </w:r>
      <w:r w:rsidR="006966FD">
        <w:rPr>
          <w:lang w:val="fr-CA"/>
        </w:rPr>
        <w:t xml:space="preserve"> </w:t>
      </w:r>
      <w:r w:rsidR="0009076B" w:rsidRPr="0009076B">
        <w:rPr>
          <w:lang w:val="fr-CA"/>
        </w:rPr>
        <w:t>estampillés</w:t>
      </w:r>
      <w:r w:rsidR="00A05109">
        <w:rPr>
          <w:lang w:val="fr-CA"/>
        </w:rPr>
        <w:t xml:space="preserve"> </w:t>
      </w:r>
      <w:r w:rsidR="0009076B" w:rsidRPr="0009076B">
        <w:rPr>
          <w:lang w:val="fr-CA"/>
        </w:rPr>
        <w:t xml:space="preserve">en conformité avec la </w:t>
      </w:r>
      <w:r w:rsidR="0009076B" w:rsidRPr="0009076B">
        <w:rPr>
          <w:i/>
          <w:lang w:val="fr-CA"/>
        </w:rPr>
        <w:t>Loi sur l’accise de 2001</w:t>
      </w:r>
      <w:r w:rsidR="0009076B">
        <w:rPr>
          <w:lang w:val="fr-CA"/>
        </w:rPr>
        <w:t xml:space="preserve"> au moment de la </w:t>
      </w:r>
      <w:r w:rsidR="0009076B" w:rsidRPr="0009076B">
        <w:rPr>
          <w:lang w:val="fr-CA"/>
        </w:rPr>
        <w:t>déclaration à l’ASFC, les produits seront soit :</w:t>
      </w:r>
    </w:p>
    <w:p w14:paraId="7FD24273" w14:textId="57ED3707" w:rsidR="0009076B" w:rsidRPr="0009076B" w:rsidRDefault="00C73B09" w:rsidP="0009076B">
      <w:pPr>
        <w:ind w:left="284"/>
        <w:rPr>
          <w:lang w:val="fr-CA"/>
        </w:rPr>
      </w:pPr>
      <w:r>
        <w:rPr>
          <w:lang w:val="fr-CA"/>
        </w:rPr>
        <w:t>a)</w:t>
      </w:r>
      <w:r w:rsidR="0009076B">
        <w:rPr>
          <w:lang w:val="fr-CA"/>
        </w:rPr>
        <w:t xml:space="preserve"> </w:t>
      </w:r>
      <w:r w:rsidR="0009076B" w:rsidRPr="0009076B">
        <w:rPr>
          <w:lang w:val="fr-CA"/>
        </w:rPr>
        <w:t>exportés</w:t>
      </w:r>
    </w:p>
    <w:p w14:paraId="404C25A5" w14:textId="71E26C8E" w:rsidR="0009076B" w:rsidRPr="0009076B" w:rsidRDefault="00C73B09" w:rsidP="0009076B">
      <w:pPr>
        <w:ind w:left="284"/>
        <w:rPr>
          <w:lang w:val="fr-CA"/>
        </w:rPr>
      </w:pPr>
      <w:r>
        <w:rPr>
          <w:lang w:val="fr-CA"/>
        </w:rPr>
        <w:t>b)</w:t>
      </w:r>
      <w:r w:rsidR="0009076B">
        <w:rPr>
          <w:lang w:val="fr-CA"/>
        </w:rPr>
        <w:t xml:space="preserve"> </w:t>
      </w:r>
      <w:r w:rsidR="0009076B" w:rsidRPr="0009076B">
        <w:rPr>
          <w:lang w:val="fr-CA"/>
        </w:rPr>
        <w:t xml:space="preserve">abandonnés à la Couronne aux termes de l’article 36 de la </w:t>
      </w:r>
      <w:r w:rsidR="0009076B" w:rsidRPr="0009076B">
        <w:rPr>
          <w:i/>
          <w:lang w:val="fr-CA"/>
        </w:rPr>
        <w:t>Loi sur les douanes</w:t>
      </w:r>
    </w:p>
    <w:p w14:paraId="444D0C20" w14:textId="7AFEC9CC" w:rsidR="0009076B" w:rsidRPr="0009076B" w:rsidRDefault="00C73B09" w:rsidP="0009076B">
      <w:pPr>
        <w:ind w:left="284"/>
        <w:rPr>
          <w:lang w:val="fr-CA"/>
        </w:rPr>
      </w:pPr>
      <w:r>
        <w:rPr>
          <w:lang w:val="fr-CA"/>
        </w:rPr>
        <w:t>c)</w:t>
      </w:r>
      <w:r w:rsidR="0009076B">
        <w:rPr>
          <w:lang w:val="fr-CA"/>
        </w:rPr>
        <w:t xml:space="preserve"> </w:t>
      </w:r>
      <w:r w:rsidR="0009076B" w:rsidRPr="0009076B">
        <w:rPr>
          <w:lang w:val="fr-CA"/>
        </w:rPr>
        <w:t>placés dans un entrepôt d’attente des douanes où la personne visée par règlement relativement aux produits de vapotage va estampiller les produits de vapotage</w:t>
      </w:r>
    </w:p>
    <w:p w14:paraId="5AD6F1A7" w14:textId="1168F605" w:rsidR="0009076B" w:rsidRDefault="00C73B09" w:rsidP="0009076B">
      <w:pPr>
        <w:ind w:left="284"/>
        <w:rPr>
          <w:lang w:val="fr-CA"/>
        </w:rPr>
      </w:pPr>
      <w:r>
        <w:rPr>
          <w:lang w:val="fr-CA"/>
        </w:rPr>
        <w:t>d)</w:t>
      </w:r>
      <w:r w:rsidR="0009076B">
        <w:rPr>
          <w:lang w:val="fr-CA"/>
        </w:rPr>
        <w:t xml:space="preserve"> </w:t>
      </w:r>
      <w:r w:rsidR="0009076B" w:rsidRPr="0009076B">
        <w:rPr>
          <w:lang w:val="fr-CA"/>
        </w:rPr>
        <w:t>placés dans les locaux du titulaire de la licence de vapotage où le titulaire procèdera à l’estampillage des produits de vapotage</w:t>
      </w:r>
    </w:p>
    <w:p w14:paraId="37D24FD7" w14:textId="4209650B" w:rsidR="00EC5650" w:rsidRPr="00CE70F3" w:rsidRDefault="00D9688E" w:rsidP="00CE70F3">
      <w:pPr>
        <w:rPr>
          <w:highlight w:val="yellow"/>
          <w:lang w:val="fr-CA"/>
        </w:rPr>
      </w:pPr>
      <w:r w:rsidRPr="00253C11">
        <w:rPr>
          <w:rFonts w:eastAsia="Times New Roman" w:cs="Arial"/>
          <w:color w:val="000000"/>
          <w:szCs w:val="24"/>
          <w:highlight w:val="yellow"/>
          <w:lang w:val="fr-CA" w:bidi="en-US"/>
        </w:rPr>
        <w:t xml:space="preserve">46. </w:t>
      </w:r>
      <w:r w:rsidR="00D330EE" w:rsidRPr="00CE70F3">
        <w:rPr>
          <w:highlight w:val="yellow"/>
          <w:lang w:val="fr-CA"/>
        </w:rPr>
        <w:t xml:space="preserve">Lorsque des </w:t>
      </w:r>
      <w:r w:rsidRPr="00253C11">
        <w:rPr>
          <w:rFonts w:eastAsia="Times New Roman" w:cs="Arial"/>
          <w:color w:val="000000"/>
          <w:szCs w:val="24"/>
          <w:highlight w:val="yellow"/>
          <w:lang w:val="fr-CA" w:bidi="en-US"/>
        </w:rPr>
        <w:t xml:space="preserve">produits de vapotage importés destinés au </w:t>
      </w:r>
      <w:r w:rsidRPr="00253C11">
        <w:rPr>
          <w:highlight w:val="yellow"/>
          <w:lang w:val="fr-CA"/>
        </w:rPr>
        <w:t xml:space="preserve">marché canadien des marchandises acquittées </w:t>
      </w:r>
      <w:r w:rsidRPr="00253C11">
        <w:rPr>
          <w:rFonts w:eastAsia="Times New Roman" w:cs="Arial"/>
          <w:color w:val="000000"/>
          <w:szCs w:val="24"/>
          <w:highlight w:val="yellow"/>
          <w:lang w:val="fr-CA" w:bidi="en-US"/>
        </w:rPr>
        <w:t xml:space="preserve">d'une province </w:t>
      </w:r>
      <w:r w:rsidRPr="00253C11">
        <w:rPr>
          <w:highlight w:val="yellow"/>
          <w:lang w:val="fr-CA"/>
        </w:rPr>
        <w:t xml:space="preserve">déterminée </w:t>
      </w:r>
      <w:r w:rsidRPr="002B5F1E">
        <w:rPr>
          <w:highlight w:val="yellow"/>
          <w:lang w:val="fr-CA"/>
        </w:rPr>
        <w:t>de vapotage</w:t>
      </w:r>
      <w:r w:rsidRPr="002B5F1E">
        <w:rPr>
          <w:rFonts w:eastAsia="Times New Roman" w:cs="Arial"/>
          <w:color w:val="000000"/>
          <w:szCs w:val="24"/>
          <w:highlight w:val="yellow"/>
          <w:lang w:val="fr-CA" w:bidi="en-US"/>
        </w:rPr>
        <w:t xml:space="preserve"> </w:t>
      </w:r>
      <w:r w:rsidR="00EC5650" w:rsidRPr="00CE70F3">
        <w:rPr>
          <w:rFonts w:eastAsia="Times New Roman" w:cs="Arial"/>
          <w:spacing w:val="2"/>
          <w:szCs w:val="24"/>
          <w:highlight w:val="yellow"/>
          <w:lang w:val="fr-CA" w:bidi="en-US"/>
        </w:rPr>
        <w:t xml:space="preserve">portent le </w:t>
      </w:r>
      <w:r w:rsidR="00C96259" w:rsidRPr="00CE70F3">
        <w:rPr>
          <w:rFonts w:cs="Arial"/>
          <w:szCs w:val="24"/>
          <w:highlight w:val="yellow"/>
          <w:lang w:val="fr-CA"/>
        </w:rPr>
        <w:t xml:space="preserve">timbre de vapotage indicateur-CAN </w:t>
      </w:r>
      <w:r w:rsidR="00EC5650" w:rsidRPr="00CE70F3">
        <w:rPr>
          <w:rFonts w:eastAsia="Times New Roman" w:cs="Arial"/>
          <w:spacing w:val="2"/>
          <w:szCs w:val="24"/>
          <w:highlight w:val="yellow"/>
          <w:lang w:val="fr-CA" w:bidi="en-US"/>
        </w:rPr>
        <w:t xml:space="preserve">mais ne portent pas le </w:t>
      </w:r>
      <w:r w:rsidR="007E1801" w:rsidRPr="00CE70F3">
        <w:rPr>
          <w:rFonts w:eastAsia="Times New Roman" w:cs="Arial"/>
          <w:szCs w:val="24"/>
          <w:highlight w:val="yellow"/>
          <w:lang w:val="fr-CA" w:bidi="en-US"/>
        </w:rPr>
        <w:t xml:space="preserve">timbre </w:t>
      </w:r>
      <w:r w:rsidR="002B5F1E" w:rsidRPr="00CE70F3">
        <w:rPr>
          <w:rFonts w:eastAsia="Times New Roman" w:cs="Arial"/>
          <w:szCs w:val="24"/>
          <w:highlight w:val="yellow"/>
          <w:lang w:val="fr-CA" w:bidi="en-US"/>
        </w:rPr>
        <w:t>PT-déterminés</w:t>
      </w:r>
      <w:r w:rsidR="002B5F1E">
        <w:rPr>
          <w:rFonts w:eastAsia="Times New Roman" w:cs="Arial"/>
          <w:szCs w:val="24"/>
          <w:highlight w:val="yellow"/>
          <w:lang w:val="fr-CA" w:bidi="en-US"/>
        </w:rPr>
        <w:t xml:space="preserve"> </w:t>
      </w:r>
      <w:r w:rsidRPr="002B5F1E">
        <w:rPr>
          <w:rFonts w:eastAsia="Times New Roman" w:cs="Arial"/>
          <w:color w:val="000000"/>
          <w:szCs w:val="24"/>
          <w:highlight w:val="yellow"/>
          <w:lang w:val="fr-CA" w:bidi="en-US"/>
        </w:rPr>
        <w:t xml:space="preserve">pour indiquer que le </w:t>
      </w:r>
      <w:r w:rsidR="007E1801" w:rsidRPr="00CE70F3">
        <w:rPr>
          <w:highlight w:val="yellow"/>
          <w:lang w:val="fr-CA"/>
        </w:rPr>
        <w:t xml:space="preserve">droit </w:t>
      </w:r>
      <w:r w:rsidR="007E1801" w:rsidRPr="00CE70F3">
        <w:rPr>
          <w:rFonts w:eastAsia="Times New Roman" w:cs="Arial"/>
          <w:szCs w:val="24"/>
          <w:highlight w:val="yellow"/>
          <w:lang w:val="fr-CA" w:bidi="en-US"/>
        </w:rPr>
        <w:t>additionnel</w:t>
      </w:r>
      <w:r w:rsidR="007E1801" w:rsidRPr="00CE70F3">
        <w:rPr>
          <w:highlight w:val="yellow"/>
          <w:lang w:val="fr-CA"/>
        </w:rPr>
        <w:t xml:space="preserve"> sur le vapotage</w:t>
      </w:r>
      <w:r w:rsidRPr="002B5F1E">
        <w:rPr>
          <w:rFonts w:eastAsia="Times New Roman" w:cs="Arial"/>
          <w:color w:val="000000"/>
          <w:szCs w:val="24"/>
          <w:highlight w:val="yellow"/>
          <w:lang w:val="fr-CA" w:bidi="en-US"/>
        </w:rPr>
        <w:t xml:space="preserve"> </w:t>
      </w:r>
      <w:r w:rsidR="00EC5650" w:rsidRPr="00CE70F3">
        <w:rPr>
          <w:rFonts w:eastAsia="Times New Roman" w:cs="Arial"/>
          <w:spacing w:val="2"/>
          <w:szCs w:val="24"/>
          <w:highlight w:val="yellow"/>
          <w:lang w:val="fr-CA" w:bidi="en-US"/>
        </w:rPr>
        <w:t xml:space="preserve">à l'égard de la province </w:t>
      </w:r>
      <w:r w:rsidR="00EC5650" w:rsidRPr="002B5F1E">
        <w:rPr>
          <w:rFonts w:eastAsia="Times New Roman" w:cs="Arial"/>
          <w:color w:val="000000"/>
          <w:szCs w:val="24"/>
          <w:highlight w:val="yellow"/>
          <w:lang w:val="fr-CA" w:bidi="en-US"/>
        </w:rPr>
        <w:t>a</w:t>
      </w:r>
      <w:r w:rsidRPr="002B5F1E">
        <w:rPr>
          <w:rFonts w:eastAsia="Times New Roman" w:cs="Arial"/>
          <w:color w:val="000000"/>
          <w:szCs w:val="24"/>
          <w:highlight w:val="yellow"/>
          <w:lang w:val="fr-CA" w:bidi="en-US"/>
        </w:rPr>
        <w:t xml:space="preserve"> été payé lorsqu'ils sont déclarés en vertu de la </w:t>
      </w:r>
      <w:r w:rsidRPr="002B5F1E">
        <w:rPr>
          <w:rFonts w:eastAsia="Times New Roman" w:cs="Arial"/>
          <w:i/>
          <w:color w:val="000000"/>
          <w:szCs w:val="24"/>
          <w:highlight w:val="yellow"/>
          <w:lang w:val="fr-CA" w:bidi="en-US"/>
        </w:rPr>
        <w:t>Loi sur les douanes</w:t>
      </w:r>
      <w:r w:rsidRPr="002B5F1E">
        <w:rPr>
          <w:rFonts w:eastAsia="Times New Roman" w:cs="Arial"/>
          <w:color w:val="000000"/>
          <w:szCs w:val="24"/>
          <w:highlight w:val="yellow"/>
          <w:lang w:val="fr-CA" w:bidi="en-US"/>
        </w:rPr>
        <w:t>, paragraphe 158.</w:t>
      </w:r>
      <w:r w:rsidR="0004575F" w:rsidRPr="002B5F1E">
        <w:rPr>
          <w:rFonts w:eastAsia="Times New Roman" w:cs="Arial"/>
          <w:color w:val="000000"/>
          <w:szCs w:val="24"/>
          <w:highlight w:val="yellow"/>
          <w:lang w:val="fr-CA" w:bidi="en-US"/>
        </w:rPr>
        <w:t>51</w:t>
      </w:r>
      <w:r w:rsidRPr="002B5F1E">
        <w:rPr>
          <w:rFonts w:eastAsia="Times New Roman" w:cs="Arial"/>
          <w:color w:val="000000"/>
          <w:szCs w:val="24"/>
          <w:highlight w:val="yellow"/>
          <w:lang w:val="fr-CA" w:bidi="en-US"/>
        </w:rPr>
        <w:t>(</w:t>
      </w:r>
      <w:r w:rsidR="00253C11" w:rsidRPr="002B5F1E">
        <w:rPr>
          <w:rFonts w:eastAsia="Times New Roman" w:cs="Arial"/>
          <w:color w:val="000000"/>
          <w:szCs w:val="24"/>
          <w:highlight w:val="yellow"/>
          <w:lang w:val="fr-CA" w:bidi="en-US"/>
        </w:rPr>
        <w:t>2</w:t>
      </w:r>
      <w:r w:rsidRPr="002B5F1E">
        <w:rPr>
          <w:rFonts w:eastAsia="Times New Roman" w:cs="Arial"/>
          <w:color w:val="000000"/>
          <w:szCs w:val="24"/>
          <w:highlight w:val="yellow"/>
          <w:lang w:val="fr-CA" w:bidi="en-US"/>
        </w:rPr>
        <w:t xml:space="preserve">) de la </w:t>
      </w:r>
      <w:r w:rsidRPr="002B5F1E">
        <w:rPr>
          <w:rFonts w:eastAsia="Times New Roman" w:cs="Arial"/>
          <w:i/>
          <w:color w:val="000000"/>
          <w:szCs w:val="24"/>
          <w:highlight w:val="yellow"/>
          <w:lang w:val="fr-CA" w:bidi="en-US"/>
        </w:rPr>
        <w:t>Loi sur l'accise 2001</w:t>
      </w:r>
      <w:r w:rsidRPr="002B5F1E">
        <w:rPr>
          <w:rFonts w:eastAsia="Times New Roman" w:cs="Arial"/>
          <w:color w:val="000000"/>
          <w:szCs w:val="24"/>
          <w:highlight w:val="yellow"/>
          <w:lang w:val="fr-CA" w:bidi="en-US"/>
        </w:rPr>
        <w:t xml:space="preserve"> prévoit que les produits devraient être placés dans un entrepôt d'attente aux fins d'être estampillés. </w:t>
      </w:r>
      <w:r w:rsidR="003001AE" w:rsidRPr="00CE70F3">
        <w:rPr>
          <w:highlight w:val="yellow"/>
          <w:lang w:val="fr-CA"/>
        </w:rPr>
        <w:t>Dans ces cas :</w:t>
      </w:r>
    </w:p>
    <w:p w14:paraId="1A4DAE78" w14:textId="1C902B00" w:rsidR="00EC5650" w:rsidRPr="00CE70F3" w:rsidRDefault="003001AE" w:rsidP="00CE70F3">
      <w:pPr>
        <w:widowControl w:val="0"/>
        <w:tabs>
          <w:tab w:val="left" w:pos="674"/>
        </w:tabs>
        <w:autoSpaceDE w:val="0"/>
        <w:autoSpaceDN w:val="0"/>
        <w:spacing w:after="0" w:line="240" w:lineRule="auto"/>
        <w:ind w:right="1202"/>
        <w:rPr>
          <w:highlight w:val="yellow"/>
          <w:lang w:val="fr-CA"/>
        </w:rPr>
      </w:pPr>
      <w:r w:rsidRPr="00CE70F3">
        <w:rPr>
          <w:highlight w:val="yellow"/>
          <w:lang w:val="fr-CA"/>
        </w:rPr>
        <w:t>L</w:t>
      </w:r>
      <w:r w:rsidR="00EC5650" w:rsidRPr="00CE70F3">
        <w:rPr>
          <w:highlight w:val="yellow"/>
          <w:lang w:val="fr-CA"/>
        </w:rPr>
        <w:t>e titulaire de licence de produit de vapotage dispose des options suivantes :</w:t>
      </w:r>
    </w:p>
    <w:p w14:paraId="312AF063" w14:textId="77777777" w:rsidR="00EC5650" w:rsidRPr="00CE70F3" w:rsidRDefault="00EC5650" w:rsidP="00CE70F3">
      <w:pPr>
        <w:widowControl w:val="0"/>
        <w:tabs>
          <w:tab w:val="left" w:pos="674"/>
        </w:tabs>
        <w:autoSpaceDE w:val="0"/>
        <w:autoSpaceDN w:val="0"/>
        <w:spacing w:line="240" w:lineRule="auto"/>
        <w:ind w:left="284" w:right="1202"/>
        <w:rPr>
          <w:highlight w:val="yellow"/>
          <w:lang w:val="fr-CA"/>
        </w:rPr>
      </w:pPr>
      <w:r w:rsidRPr="00CE70F3">
        <w:rPr>
          <w:highlight w:val="yellow"/>
          <w:lang w:val="fr-CA"/>
        </w:rPr>
        <w:t>a) exporter les produits de vapotage et les estampiller à l'extérieur du Canada</w:t>
      </w:r>
    </w:p>
    <w:p w14:paraId="5754C1AE" w14:textId="7D76303B" w:rsidR="00EC5650" w:rsidRPr="00CE70F3" w:rsidRDefault="00EC5650" w:rsidP="00CE70F3">
      <w:pPr>
        <w:ind w:left="284"/>
        <w:rPr>
          <w:highlight w:val="yellow"/>
          <w:lang w:val="fr-CA"/>
        </w:rPr>
      </w:pPr>
      <w:r w:rsidRPr="00CE70F3">
        <w:rPr>
          <w:highlight w:val="yellow"/>
          <w:lang w:val="fr-CA"/>
        </w:rPr>
        <w:t xml:space="preserve">(b) envoyer les produits de vapotage à un entrepôt d'attente pour y être estampillés avec le </w:t>
      </w:r>
      <w:r w:rsidR="00D568AB" w:rsidRPr="00CE70F3">
        <w:rPr>
          <w:rFonts w:eastAsia="Times New Roman" w:cs="Arial"/>
          <w:szCs w:val="24"/>
          <w:highlight w:val="yellow"/>
          <w:lang w:val="fr-CA" w:bidi="en-US"/>
        </w:rPr>
        <w:t xml:space="preserve">timbre </w:t>
      </w:r>
      <w:r w:rsidR="002B5F1E" w:rsidRPr="00CE70F3">
        <w:rPr>
          <w:rFonts w:eastAsia="Times New Roman" w:cs="Arial"/>
          <w:szCs w:val="24"/>
          <w:highlight w:val="yellow"/>
          <w:lang w:val="fr-CA" w:bidi="en-US"/>
        </w:rPr>
        <w:t>PT-déterminés</w:t>
      </w:r>
    </w:p>
    <w:p w14:paraId="6997277F" w14:textId="452593EC" w:rsidR="00EC5650" w:rsidRPr="00CE70F3" w:rsidRDefault="00650C1C" w:rsidP="00CE70F3">
      <w:pPr>
        <w:ind w:left="284"/>
        <w:rPr>
          <w:highlight w:val="yellow"/>
          <w:lang w:val="fr-CA"/>
        </w:rPr>
      </w:pPr>
      <w:r w:rsidRPr="002B5F1E">
        <w:rPr>
          <w:highlight w:val="yellow"/>
          <w:lang w:val="fr-CA"/>
        </w:rPr>
        <w:t>(c) estampiller</w:t>
      </w:r>
      <w:r w:rsidR="00EC5650" w:rsidRPr="00CE70F3">
        <w:rPr>
          <w:highlight w:val="yellow"/>
          <w:lang w:val="fr-CA"/>
        </w:rPr>
        <w:t xml:space="preserve"> </w:t>
      </w:r>
      <w:r w:rsidR="00581930" w:rsidRPr="00CE70F3">
        <w:rPr>
          <w:highlight w:val="yellow"/>
          <w:lang w:val="fr-CA"/>
        </w:rPr>
        <w:t xml:space="preserve">les produits de vapotage </w:t>
      </w:r>
      <w:r w:rsidR="00EC5650" w:rsidRPr="00CE70F3">
        <w:rPr>
          <w:highlight w:val="yellow"/>
          <w:lang w:val="fr-CA"/>
        </w:rPr>
        <w:t xml:space="preserve">avec le </w:t>
      </w:r>
      <w:r w:rsidR="00D568AB" w:rsidRPr="00CE70F3">
        <w:rPr>
          <w:rFonts w:eastAsia="Times New Roman" w:cs="Arial"/>
          <w:szCs w:val="24"/>
          <w:highlight w:val="yellow"/>
          <w:lang w:val="fr-CA" w:bidi="en-US"/>
        </w:rPr>
        <w:t xml:space="preserve">timbre </w:t>
      </w:r>
      <w:r w:rsidR="002B5F1E" w:rsidRPr="00CE70F3">
        <w:rPr>
          <w:rFonts w:eastAsia="Times New Roman" w:cs="Arial"/>
          <w:szCs w:val="24"/>
          <w:highlight w:val="yellow"/>
          <w:lang w:val="fr-CA" w:bidi="en-US"/>
        </w:rPr>
        <w:t xml:space="preserve">PT-déterminés </w:t>
      </w:r>
      <w:r w:rsidR="00EC5650" w:rsidRPr="00CE70F3">
        <w:rPr>
          <w:highlight w:val="yellow"/>
          <w:lang w:val="fr-CA"/>
        </w:rPr>
        <w:t>dans leurs propres locaux</w:t>
      </w:r>
    </w:p>
    <w:p w14:paraId="4AA2991C" w14:textId="58BE603D" w:rsidR="00EC5650" w:rsidRPr="00CE70F3" w:rsidRDefault="00EC5650" w:rsidP="00CE70F3">
      <w:pPr>
        <w:rPr>
          <w:highlight w:val="yellow"/>
          <w:lang w:val="fr-CA"/>
        </w:rPr>
      </w:pPr>
      <w:r w:rsidRPr="00CE70F3">
        <w:rPr>
          <w:highlight w:val="yellow"/>
          <w:lang w:val="fr-CA"/>
        </w:rPr>
        <w:t xml:space="preserve">La </w:t>
      </w:r>
      <w:r w:rsidR="00461D1B" w:rsidRPr="00CE70F3">
        <w:rPr>
          <w:highlight w:val="yellow"/>
          <w:lang w:val="fr-CA"/>
        </w:rPr>
        <w:t>personne visée par règlement</w:t>
      </w:r>
      <w:r w:rsidR="00461D1B" w:rsidRPr="00CE70F3">
        <w:rPr>
          <w:rFonts w:asciiTheme="minorHAnsi" w:hAnsiTheme="minorHAnsi"/>
          <w:sz w:val="22"/>
          <w:highlight w:val="yellow"/>
          <w:lang w:val="fr-CA"/>
        </w:rPr>
        <w:t xml:space="preserve"> </w:t>
      </w:r>
      <w:r w:rsidRPr="00CE70F3">
        <w:rPr>
          <w:highlight w:val="yellow"/>
          <w:lang w:val="fr-CA"/>
        </w:rPr>
        <w:t xml:space="preserve">dispose des options suivantes, mais ne peut pas utiliser son propre local pour apposer le </w:t>
      </w:r>
      <w:r w:rsidR="00D568AB" w:rsidRPr="00CE70F3">
        <w:rPr>
          <w:rFonts w:eastAsia="Times New Roman" w:cs="Arial"/>
          <w:szCs w:val="24"/>
          <w:highlight w:val="yellow"/>
          <w:lang w:val="fr-CA" w:bidi="en-US"/>
        </w:rPr>
        <w:t xml:space="preserve">timbre </w:t>
      </w:r>
      <w:r w:rsidR="002B5F1E" w:rsidRPr="00CE70F3">
        <w:rPr>
          <w:rFonts w:eastAsia="Times New Roman" w:cs="Arial"/>
          <w:szCs w:val="24"/>
          <w:highlight w:val="yellow"/>
          <w:lang w:val="fr-CA" w:bidi="en-US"/>
        </w:rPr>
        <w:t xml:space="preserve">PT-déterminés </w:t>
      </w:r>
      <w:r w:rsidRPr="00CE70F3">
        <w:rPr>
          <w:highlight w:val="yellow"/>
          <w:lang w:val="fr-CA"/>
        </w:rPr>
        <w:t>:</w:t>
      </w:r>
    </w:p>
    <w:p w14:paraId="5AD8B58A" w14:textId="77777777" w:rsidR="00EC5650" w:rsidRPr="00CE70F3" w:rsidRDefault="00EC5650" w:rsidP="00CE70F3">
      <w:pPr>
        <w:widowControl w:val="0"/>
        <w:tabs>
          <w:tab w:val="left" w:pos="674"/>
        </w:tabs>
        <w:autoSpaceDE w:val="0"/>
        <w:autoSpaceDN w:val="0"/>
        <w:spacing w:line="240" w:lineRule="auto"/>
        <w:ind w:left="284" w:right="1202"/>
        <w:rPr>
          <w:highlight w:val="yellow"/>
          <w:lang w:val="fr-CA"/>
        </w:rPr>
      </w:pPr>
      <w:r w:rsidRPr="00CE70F3">
        <w:rPr>
          <w:highlight w:val="yellow"/>
          <w:lang w:val="fr-CA"/>
        </w:rPr>
        <w:t>a) exporter les produits de vapotage et les estampiller à l'extérieur du Canada</w:t>
      </w:r>
    </w:p>
    <w:p w14:paraId="46B95E54" w14:textId="1A7EDC47" w:rsidR="00EC5650" w:rsidRPr="00CE70F3" w:rsidRDefault="00EC5650" w:rsidP="00CE70F3">
      <w:pPr>
        <w:ind w:left="284"/>
        <w:rPr>
          <w:highlight w:val="yellow"/>
          <w:lang w:val="fr-CA"/>
        </w:rPr>
      </w:pPr>
      <w:r w:rsidRPr="00CE70F3">
        <w:rPr>
          <w:highlight w:val="yellow"/>
          <w:lang w:val="fr-CA"/>
        </w:rPr>
        <w:t>(b) envoyer les produits de vapotage à un entrepôt d'attente pour y être estampillés avec le</w:t>
      </w:r>
      <w:r w:rsidR="00D568AB" w:rsidRPr="00CE70F3">
        <w:rPr>
          <w:rFonts w:eastAsia="Times New Roman" w:cs="Arial"/>
          <w:szCs w:val="24"/>
          <w:highlight w:val="yellow"/>
          <w:lang w:val="fr-CA" w:bidi="en-US"/>
        </w:rPr>
        <w:t xml:space="preserve"> timbre </w:t>
      </w:r>
      <w:r w:rsidR="002B5F1E" w:rsidRPr="00CE70F3">
        <w:rPr>
          <w:rFonts w:eastAsia="Times New Roman" w:cs="Arial"/>
          <w:szCs w:val="24"/>
          <w:highlight w:val="yellow"/>
          <w:lang w:val="fr-CA" w:bidi="en-US"/>
        </w:rPr>
        <w:t>PT-déterminés</w:t>
      </w:r>
    </w:p>
    <w:p w14:paraId="2A80A7F4" w14:textId="0FD55AA6" w:rsidR="006966FD" w:rsidRPr="00CE70F3" w:rsidRDefault="00D05324" w:rsidP="00CE70F3">
      <w:pPr>
        <w:widowControl w:val="0"/>
        <w:tabs>
          <w:tab w:val="left" w:pos="674"/>
        </w:tabs>
        <w:autoSpaceDE w:val="0"/>
        <w:autoSpaceDN w:val="0"/>
        <w:ind w:right="1202"/>
        <w:rPr>
          <w:rFonts w:eastAsia="Times New Roman" w:cs="Arial"/>
          <w:color w:val="000000"/>
          <w:szCs w:val="24"/>
          <w:highlight w:val="yellow"/>
          <w:lang w:val="fr-CA" w:bidi="en-US"/>
        </w:rPr>
      </w:pPr>
      <w:r w:rsidRPr="00CE70F3">
        <w:rPr>
          <w:lang w:val="fr-CA"/>
        </w:rPr>
        <w:t>47. Le droit sur le</w:t>
      </w:r>
      <w:r w:rsidR="00A606BC" w:rsidRPr="00CE70F3">
        <w:rPr>
          <w:lang w:val="fr-CA"/>
        </w:rPr>
        <w:t xml:space="preserve"> vapotage et </w:t>
      </w:r>
      <w:r w:rsidR="00004D7C" w:rsidRPr="00CE70F3">
        <w:rPr>
          <w:lang w:val="fr-CA"/>
        </w:rPr>
        <w:t xml:space="preserve">le </w:t>
      </w:r>
      <w:r w:rsidR="00BE7EEC" w:rsidRPr="00CE70F3">
        <w:rPr>
          <w:lang w:val="fr-CA"/>
        </w:rPr>
        <w:t>droit additionnel sur le vapotage</w:t>
      </w:r>
      <w:r w:rsidR="00A606BC" w:rsidRPr="00CE70F3">
        <w:rPr>
          <w:lang w:val="fr-CA"/>
        </w:rPr>
        <w:t xml:space="preserve"> (le cas échéant) doivent être payés à l'ASFC après q</w:t>
      </w:r>
      <w:r w:rsidR="00651D73" w:rsidRPr="00CE70F3">
        <w:rPr>
          <w:lang w:val="fr-CA"/>
        </w:rPr>
        <w:t>ue les produits de vapotage soient</w:t>
      </w:r>
      <w:r w:rsidR="00A606BC" w:rsidRPr="00CE70F3">
        <w:rPr>
          <w:lang w:val="fr-CA"/>
        </w:rPr>
        <w:t xml:space="preserve"> estampillés dans un entrepôt d'attente, et doivent être payés à l'ARC s'ils sont estampillés dans les locaux d'un </w:t>
      </w:r>
      <w:r w:rsidR="00A751A8" w:rsidRPr="00CE70F3">
        <w:rPr>
          <w:lang w:val="fr-CA"/>
        </w:rPr>
        <w:t>titulaire de</w:t>
      </w:r>
      <w:r w:rsidR="00A606BC" w:rsidRPr="00CE70F3">
        <w:rPr>
          <w:lang w:val="fr-CA"/>
        </w:rPr>
        <w:t xml:space="preserve"> licence de produit.</w:t>
      </w:r>
      <w:r w:rsidR="00BE7EEC">
        <w:rPr>
          <w:rFonts w:eastAsia="Times New Roman" w:cs="Arial"/>
          <w:color w:val="000000"/>
          <w:szCs w:val="24"/>
          <w:highlight w:val="yellow"/>
          <w:lang w:val="fr-CA" w:bidi="en-US"/>
        </w:rPr>
        <w:t xml:space="preserve"> </w:t>
      </w:r>
    </w:p>
    <w:p w14:paraId="03017F32" w14:textId="3E4C4879" w:rsidR="0009076B" w:rsidRPr="0009076B" w:rsidRDefault="0047321D" w:rsidP="0009076B">
      <w:pPr>
        <w:rPr>
          <w:lang w:val="fr-CA"/>
        </w:rPr>
      </w:pPr>
      <w:r>
        <w:rPr>
          <w:lang w:val="fr-CA"/>
        </w:rPr>
        <w:t>48</w:t>
      </w:r>
      <w:r w:rsidR="0009076B">
        <w:rPr>
          <w:lang w:val="fr-CA"/>
        </w:rPr>
        <w:t xml:space="preserve">. </w:t>
      </w:r>
      <w:r w:rsidR="0009076B" w:rsidRPr="0009076B">
        <w:rPr>
          <w:lang w:val="fr-CA"/>
        </w:rPr>
        <w:t>Si un titulaire de licence de produits de vapotage importe des produits de vapotage emballés pour estampillage, mais ne les estampillent pas avant la fin du mois civil donné qui est le deuxième mois civil suivant celui au cours duquel les produits de vapotage ont obtenu la mainlevée de l’ASFC, il doit les déposer dans son entrepôt d’accise avant la fin du mois civil donné.</w:t>
      </w:r>
    </w:p>
    <w:p w14:paraId="6B794760" w14:textId="07D30D59" w:rsidR="0009076B" w:rsidRPr="0009076B" w:rsidRDefault="0047321D" w:rsidP="0009076B">
      <w:pPr>
        <w:rPr>
          <w:lang w:val="fr-CA"/>
        </w:rPr>
      </w:pPr>
      <w:r>
        <w:rPr>
          <w:lang w:val="fr-CA"/>
        </w:rPr>
        <w:t>49</w:t>
      </w:r>
      <w:r w:rsidR="0009076B">
        <w:rPr>
          <w:lang w:val="fr-CA"/>
        </w:rPr>
        <w:t xml:space="preserve">. </w:t>
      </w:r>
      <w:r w:rsidR="0009076B" w:rsidRPr="0009076B">
        <w:rPr>
          <w:lang w:val="fr-CA"/>
        </w:rPr>
        <w:t xml:space="preserve">Les importateurs peuvent présenter une demande auprès de l’ASFC pour obtenir leur propre licence d’entrepôt d’attente des douanes. Les demandeurs doivent satisfaire à toutes les exigences règlementaires énoncées dans le </w:t>
      </w:r>
      <w:r w:rsidR="0009076B" w:rsidRPr="0009076B">
        <w:rPr>
          <w:i/>
          <w:lang w:val="fr-CA"/>
        </w:rPr>
        <w:t>Règlement sur les entrepôts d’attente des douanes</w:t>
      </w:r>
      <w:r w:rsidR="0009076B" w:rsidRPr="0009076B">
        <w:rPr>
          <w:lang w:val="fr-CA"/>
        </w:rPr>
        <w:t xml:space="preserve"> pour pouvoir obtenir une licence d’entrepôt d’attente des douanes. Cependant, une licence d’entrepôt d’attente des douanes ne sera pas délivrée aux demandeurs souhaitant seulement estampiller les produits de vapotage dans l’installation d’entreposage.</w:t>
      </w:r>
    </w:p>
    <w:p w14:paraId="26B42025" w14:textId="5E4A5959" w:rsidR="0009076B" w:rsidRPr="0009076B" w:rsidRDefault="0047321D" w:rsidP="0009076B">
      <w:pPr>
        <w:rPr>
          <w:lang w:val="fr-CA"/>
        </w:rPr>
      </w:pPr>
      <w:r>
        <w:rPr>
          <w:lang w:val="fr-CA"/>
        </w:rPr>
        <w:t>50</w:t>
      </w:r>
      <w:r w:rsidR="0009076B">
        <w:rPr>
          <w:lang w:val="fr-CA"/>
        </w:rPr>
        <w:t xml:space="preserve">. </w:t>
      </w:r>
      <w:r w:rsidR="0009076B" w:rsidRPr="0009076B">
        <w:rPr>
          <w:lang w:val="fr-CA"/>
        </w:rPr>
        <w:t xml:space="preserve">Les produits de vapotage emballés et non estampillés peuvent aussi être livrés dans un entrepôt d’attente des douanes existant en conformité avec le mode de transport. Pour plus de renseignements, </w:t>
      </w:r>
      <w:r w:rsidR="0009076B" w:rsidRPr="0009076B">
        <w:rPr>
          <w:lang w:val="fr-CA"/>
        </w:rPr>
        <w:lastRenderedPageBreak/>
        <w:t xml:space="preserve">consultez le </w:t>
      </w:r>
      <w:r w:rsidR="0009076B" w:rsidRPr="00BF0C01">
        <w:rPr>
          <w:i/>
          <w:lang w:val="fr-CA"/>
        </w:rPr>
        <w:t>Mémorandum D4-1-4, Entrepôts d'attente des douanes</w:t>
      </w:r>
      <w:r w:rsidR="0009076B" w:rsidRPr="0009076B">
        <w:rPr>
          <w:lang w:val="fr-CA"/>
        </w:rPr>
        <w:t xml:space="preserve">, au lien se trouvant dans la section </w:t>
      </w:r>
      <w:hyperlink w:anchor="Lienscommexes" w:history="1">
        <w:r w:rsidR="00D60F45" w:rsidRPr="00BF0C01">
          <w:rPr>
            <w:rStyle w:val="Hyperlink"/>
            <w:color w:val="auto"/>
            <w:u w:val="none"/>
            <w:lang w:val="fr-CA"/>
          </w:rPr>
          <w:t>Liens connexes</w:t>
        </w:r>
      </w:hyperlink>
      <w:r w:rsidR="0009076B" w:rsidRPr="008950AF">
        <w:rPr>
          <w:lang w:val="fr-CA"/>
        </w:rPr>
        <w:t xml:space="preserve"> </w:t>
      </w:r>
      <w:r w:rsidR="0009076B" w:rsidRPr="0009076B">
        <w:rPr>
          <w:lang w:val="fr-CA"/>
        </w:rPr>
        <w:t>de ce mémorandum.</w:t>
      </w:r>
    </w:p>
    <w:p w14:paraId="6741F5FE" w14:textId="106E5EA4" w:rsidR="0009076B" w:rsidRPr="0009076B" w:rsidRDefault="0047321D" w:rsidP="0009076B">
      <w:pPr>
        <w:rPr>
          <w:lang w:val="fr-CA"/>
        </w:rPr>
      </w:pPr>
      <w:r>
        <w:rPr>
          <w:lang w:val="fr-CA"/>
        </w:rPr>
        <w:t>51</w:t>
      </w:r>
      <w:r w:rsidR="002B0AE6">
        <w:rPr>
          <w:lang w:val="fr-CA"/>
        </w:rPr>
        <w:t xml:space="preserve">. </w:t>
      </w:r>
      <w:r w:rsidR="0009076B" w:rsidRPr="0009076B">
        <w:rPr>
          <w:lang w:val="fr-CA"/>
        </w:rPr>
        <w:t xml:space="preserve">Une autorisation écrite de l’ASFC ou la présence d’un agent de l’ASFC est requise pour toute personne autre qu’un employé de l’entrepôt d’attente ou un employé d’un transporteur engagé dans une livraison ou l’enlèvement des marchandises puisse entrer dans l’entrepôt d’attente où les marchandises sont entreposées. Pour plus de renseignements, consultez le </w:t>
      </w:r>
      <w:r w:rsidR="0009076B" w:rsidRPr="00BF0C01">
        <w:rPr>
          <w:i/>
          <w:lang w:val="fr-CA"/>
        </w:rPr>
        <w:t>Mémorandum D4-1-4, Entrepôts d’attente des douanes</w:t>
      </w:r>
      <w:r w:rsidR="0009076B" w:rsidRPr="0009076B">
        <w:rPr>
          <w:lang w:val="fr-CA"/>
        </w:rPr>
        <w:t xml:space="preserve">, au lien se trouvant dans la section </w:t>
      </w:r>
      <w:hyperlink w:anchor="Lienscommexes" w:history="1">
        <w:r w:rsidR="008950AF" w:rsidRPr="00C50D39">
          <w:rPr>
            <w:rStyle w:val="Hyperlink"/>
            <w:color w:val="auto"/>
            <w:u w:val="none"/>
            <w:lang w:val="fr-CA"/>
          </w:rPr>
          <w:t>Liens connexes</w:t>
        </w:r>
      </w:hyperlink>
      <w:r w:rsidR="0009076B" w:rsidRPr="0009076B">
        <w:rPr>
          <w:lang w:val="fr-CA"/>
        </w:rPr>
        <w:t xml:space="preserve"> de ce mémorandum. </w:t>
      </w:r>
    </w:p>
    <w:p w14:paraId="68870735" w14:textId="1165570E" w:rsidR="0009076B" w:rsidRPr="0009076B" w:rsidRDefault="0047321D" w:rsidP="0009076B">
      <w:pPr>
        <w:rPr>
          <w:lang w:val="fr-CA"/>
        </w:rPr>
      </w:pPr>
      <w:r>
        <w:rPr>
          <w:lang w:val="fr-CA"/>
        </w:rPr>
        <w:t>52</w:t>
      </w:r>
      <w:r w:rsidR="002B0AE6">
        <w:rPr>
          <w:lang w:val="fr-CA"/>
        </w:rPr>
        <w:t xml:space="preserve">. </w:t>
      </w:r>
      <w:r w:rsidR="0009076B" w:rsidRPr="0009076B">
        <w:rPr>
          <w:lang w:val="fr-CA"/>
        </w:rPr>
        <w:t xml:space="preserve">Les produits de vapotage constituent une catégorie de marchandises réglementées qui sont confisquées si elles ne sont pas retirées d’un entrepôt d’attente des douanes dans les 14 jours après qu’elles aient été déclarées à l’ASFC en vertu l’article 12 de la </w:t>
      </w:r>
      <w:r w:rsidR="0009076B" w:rsidRPr="00C366AE">
        <w:rPr>
          <w:i/>
          <w:lang w:val="fr-CA"/>
        </w:rPr>
        <w:t>Loi sur les douanes</w:t>
      </w:r>
      <w:r w:rsidR="0009076B" w:rsidRPr="0009076B">
        <w:rPr>
          <w:lang w:val="fr-CA"/>
        </w:rPr>
        <w:t xml:space="preserve">. Pour plus de renseignements, consultez le </w:t>
      </w:r>
      <w:r w:rsidR="0009076B" w:rsidRPr="00C366AE">
        <w:rPr>
          <w:i/>
          <w:lang w:val="fr-CA"/>
        </w:rPr>
        <w:t>Règlement sur les entrepôts d’attente des douanes</w:t>
      </w:r>
      <w:r w:rsidR="0009076B" w:rsidRPr="0009076B">
        <w:rPr>
          <w:lang w:val="fr-CA"/>
        </w:rPr>
        <w:t xml:space="preserve"> et le </w:t>
      </w:r>
      <w:r w:rsidR="0009076B" w:rsidRPr="00BF0C01">
        <w:rPr>
          <w:i/>
          <w:lang w:val="fr-CA"/>
        </w:rPr>
        <w:t>Mémorandum D4-1-7, Prorogation des délais pour l'entreposage des marchandises</w:t>
      </w:r>
      <w:r w:rsidR="0009076B" w:rsidRPr="0009076B">
        <w:rPr>
          <w:lang w:val="fr-CA"/>
        </w:rPr>
        <w:t xml:space="preserve">, aux liens se trouvant dans la section </w:t>
      </w:r>
      <w:hyperlink w:anchor="Lienscommexes" w:history="1">
        <w:r w:rsidR="008950AF" w:rsidRPr="00C50D39">
          <w:rPr>
            <w:rStyle w:val="Hyperlink"/>
            <w:color w:val="auto"/>
            <w:u w:val="none"/>
            <w:lang w:val="fr-CA"/>
          </w:rPr>
          <w:t>Liens connexes</w:t>
        </w:r>
      </w:hyperlink>
      <w:r w:rsidR="0009076B" w:rsidRPr="0009076B">
        <w:rPr>
          <w:lang w:val="fr-CA"/>
        </w:rPr>
        <w:t xml:space="preserve"> de ce mémorandum.</w:t>
      </w:r>
    </w:p>
    <w:p w14:paraId="1F2C78B6" w14:textId="0D618294" w:rsidR="0009076B" w:rsidRDefault="0047321D" w:rsidP="0009076B">
      <w:pPr>
        <w:rPr>
          <w:lang w:val="fr-CA"/>
        </w:rPr>
      </w:pPr>
      <w:r>
        <w:rPr>
          <w:lang w:val="fr-CA"/>
        </w:rPr>
        <w:t>53</w:t>
      </w:r>
      <w:r w:rsidR="00C366AE">
        <w:rPr>
          <w:lang w:val="fr-CA"/>
        </w:rPr>
        <w:t xml:space="preserve">. </w:t>
      </w:r>
      <w:r w:rsidR="0009076B" w:rsidRPr="0009076B">
        <w:rPr>
          <w:lang w:val="fr-CA"/>
        </w:rPr>
        <w:t xml:space="preserve">Des frais de services spéciaux seront appliqués lorsqu’un agent est demandé pour vérifier que les emballages dans un entrepôt d’attente des douanes ont été estampillés en conformité avec le </w:t>
      </w:r>
      <w:r w:rsidR="0009076B" w:rsidRPr="008B1E58">
        <w:rPr>
          <w:i/>
          <w:lang w:val="fr-CA"/>
        </w:rPr>
        <w:t>Règlement sur l’estampillage et le marquage des produits du tabac, du cannabis et de vapotage</w:t>
      </w:r>
      <w:r w:rsidR="0009076B" w:rsidRPr="0009076B">
        <w:rPr>
          <w:lang w:val="fr-CA"/>
        </w:rPr>
        <w:t xml:space="preserve">. Pour plus de renseignements, consultez le </w:t>
      </w:r>
      <w:r w:rsidR="0009076B" w:rsidRPr="00BF0C01">
        <w:rPr>
          <w:i/>
          <w:lang w:val="fr-CA"/>
        </w:rPr>
        <w:t>Mémorandum D1-2-1, Services spéciaux</w:t>
      </w:r>
      <w:r w:rsidR="0009076B" w:rsidRPr="0009076B">
        <w:rPr>
          <w:lang w:val="fr-CA"/>
        </w:rPr>
        <w:t xml:space="preserve">, au lien se trouvant dans la section </w:t>
      </w:r>
      <w:hyperlink w:anchor="Lienscommexes" w:history="1">
        <w:r w:rsidR="008950AF" w:rsidRPr="00C50D39">
          <w:rPr>
            <w:rStyle w:val="Hyperlink"/>
            <w:color w:val="auto"/>
            <w:u w:val="none"/>
            <w:lang w:val="fr-CA"/>
          </w:rPr>
          <w:t>Liens connexes</w:t>
        </w:r>
      </w:hyperlink>
      <w:r w:rsidR="0009076B" w:rsidRPr="0009076B">
        <w:rPr>
          <w:lang w:val="fr-CA"/>
        </w:rPr>
        <w:t xml:space="preserve"> de ce mémorandum.</w:t>
      </w:r>
    </w:p>
    <w:p w14:paraId="081FACA5" w14:textId="56B95C9A" w:rsidR="0009076B" w:rsidRPr="00447EBA" w:rsidRDefault="0009076B" w:rsidP="007D6D16">
      <w:pPr>
        <w:pStyle w:val="Heading3"/>
      </w:pPr>
      <w:bookmarkStart w:id="32" w:name="SH16"/>
      <w:r w:rsidRPr="003B25DA">
        <w:t xml:space="preserve">Droit sur le </w:t>
      </w:r>
      <w:r w:rsidRPr="00121B7A">
        <w:t xml:space="preserve">vapotage </w:t>
      </w:r>
      <w:r w:rsidR="00943B01" w:rsidRPr="00CE70F3">
        <w:rPr>
          <w:rFonts w:eastAsiaTheme="minorHAnsi"/>
        </w:rPr>
        <w:t xml:space="preserve">et droit </w:t>
      </w:r>
      <w:r w:rsidR="00943B01" w:rsidRPr="00CE70F3">
        <w:t>additionnel</w:t>
      </w:r>
      <w:r w:rsidR="00943B01" w:rsidRPr="00D14570">
        <w:t xml:space="preserve"> </w:t>
      </w:r>
      <w:r w:rsidR="00027BB4" w:rsidRPr="00D14570">
        <w:t xml:space="preserve">sur le vapotage </w:t>
      </w:r>
      <w:r w:rsidRPr="00D14570">
        <w:t>-</w:t>
      </w:r>
      <w:r w:rsidRPr="00121B7A">
        <w:t xml:space="preserve"> </w:t>
      </w:r>
      <w:r w:rsidR="00901C33" w:rsidRPr="00121B7A">
        <w:t>e</w:t>
      </w:r>
      <w:r w:rsidRPr="00121B7A">
        <w:t>xonéré</w:t>
      </w:r>
      <w:r w:rsidRPr="003B25DA">
        <w:t xml:space="preserve"> ou non exigible</w:t>
      </w:r>
      <w:bookmarkEnd w:id="32"/>
      <w:r w:rsidRPr="00447EBA">
        <w:t xml:space="preserve"> </w:t>
      </w:r>
    </w:p>
    <w:p w14:paraId="422EF734" w14:textId="6BC1B387" w:rsidR="0009076B" w:rsidRPr="0009076B" w:rsidRDefault="008638E1" w:rsidP="0009076B">
      <w:pPr>
        <w:rPr>
          <w:lang w:val="fr-CA"/>
        </w:rPr>
      </w:pPr>
      <w:r>
        <w:rPr>
          <w:lang w:val="fr-CA"/>
        </w:rPr>
        <w:t>54</w:t>
      </w:r>
      <w:r w:rsidR="00C366AE">
        <w:rPr>
          <w:lang w:val="fr-CA"/>
        </w:rPr>
        <w:t xml:space="preserve">. </w:t>
      </w:r>
      <w:r w:rsidR="0009076B" w:rsidRPr="0009076B">
        <w:rPr>
          <w:lang w:val="fr-CA"/>
        </w:rPr>
        <w:t xml:space="preserve">Il y a des circonstances limitées où le droit sur le vapotage est exonéré ou n’est pas exigible relativement aux produits de vapotage. </w:t>
      </w:r>
      <w:r w:rsidR="0009076B" w:rsidRPr="00874893">
        <w:rPr>
          <w:i/>
          <w:lang w:val="fr-CA"/>
        </w:rPr>
        <w:t>La Loi sur l’accise de 2001</w:t>
      </w:r>
      <w:r w:rsidR="0009076B" w:rsidRPr="0009076B">
        <w:rPr>
          <w:lang w:val="fr-CA"/>
        </w:rPr>
        <w:t xml:space="preserve"> prévoit des exceptions où le droit sur le vapotage est exonéré ou non exigible à l’importation des produits de vapotage. De telles exceptions sont :</w:t>
      </w:r>
    </w:p>
    <w:p w14:paraId="1ECE67C0" w14:textId="03AD221F" w:rsidR="0009076B" w:rsidRPr="00CE70F3" w:rsidRDefault="0009076B" w:rsidP="00CE70F3">
      <w:pPr>
        <w:rPr>
          <w:b/>
          <w:lang w:val="fr-CA"/>
        </w:rPr>
      </w:pPr>
      <w:bookmarkStart w:id="33" w:name="SSH06"/>
      <w:r w:rsidRPr="00CE70F3">
        <w:rPr>
          <w:b/>
          <w:lang w:val="fr-CA"/>
        </w:rPr>
        <w:t>Produits de vapotage importés par un titulaire de licence</w:t>
      </w:r>
      <w:bookmarkEnd w:id="33"/>
    </w:p>
    <w:p w14:paraId="6F6EECC4" w14:textId="516B9150" w:rsidR="0009076B" w:rsidRPr="0009076B" w:rsidRDefault="0009076B" w:rsidP="00377AF9">
      <w:pPr>
        <w:rPr>
          <w:lang w:val="fr-CA"/>
        </w:rPr>
      </w:pPr>
      <w:r w:rsidRPr="0009076B">
        <w:rPr>
          <w:lang w:val="fr-CA"/>
        </w:rPr>
        <w:t xml:space="preserve">Le paragraphe 158.47(2) de la </w:t>
      </w:r>
      <w:r w:rsidRPr="00C366AE">
        <w:rPr>
          <w:i/>
          <w:lang w:val="fr-CA"/>
        </w:rPr>
        <w:t>Loi sur l’accise de 2001</w:t>
      </w:r>
      <w:r w:rsidRPr="0009076B">
        <w:rPr>
          <w:lang w:val="fr-CA"/>
        </w:rPr>
        <w:t xml:space="preserve"> prévoit que les produits de vapotage sont exemptés de l’estampillage et de l’emballage av</w:t>
      </w:r>
      <w:r w:rsidR="00C366AE">
        <w:rPr>
          <w:lang w:val="fr-CA"/>
        </w:rPr>
        <w:t>ant la mainlevée en vertu de la</w:t>
      </w:r>
      <w:r w:rsidRPr="0009076B">
        <w:rPr>
          <w:lang w:val="fr-CA"/>
        </w:rPr>
        <w:t xml:space="preserve"> </w:t>
      </w:r>
      <w:r w:rsidRPr="00C366AE">
        <w:rPr>
          <w:i/>
          <w:lang w:val="fr-CA"/>
        </w:rPr>
        <w:t>Loi sur les douanes</w:t>
      </w:r>
      <w:r w:rsidRPr="0009076B">
        <w:rPr>
          <w:lang w:val="fr-CA"/>
        </w:rPr>
        <w:t xml:space="preserve"> en vue d’être mis sur le marché canadien des marchandises acquittées si le produit est importé par un titulaire de licence de produits de vapotage pour une étape ultérieure de fabrication ou pour estampillage.</w:t>
      </w:r>
    </w:p>
    <w:p w14:paraId="0D7E0801" w14:textId="444FD804" w:rsidR="0009076B" w:rsidRPr="00CE70F3" w:rsidRDefault="0009076B" w:rsidP="00CE70F3">
      <w:pPr>
        <w:rPr>
          <w:b/>
          <w:lang w:val="fr-CA"/>
        </w:rPr>
      </w:pPr>
      <w:bookmarkStart w:id="34" w:name="SSH07"/>
      <w:r w:rsidRPr="00CE70F3">
        <w:rPr>
          <w:b/>
          <w:lang w:val="fr-CA"/>
        </w:rPr>
        <w:t>Produits de vapotag</w:t>
      </w:r>
      <w:r w:rsidR="004B649B" w:rsidRPr="00CE70F3">
        <w:rPr>
          <w:b/>
          <w:lang w:val="fr-CA"/>
        </w:rPr>
        <w:t>e importés pour usage personnel</w:t>
      </w:r>
      <w:bookmarkEnd w:id="34"/>
    </w:p>
    <w:p w14:paraId="3705B7F3" w14:textId="60800780" w:rsidR="0009076B" w:rsidRPr="0009076B" w:rsidRDefault="0009076B" w:rsidP="00377AF9">
      <w:pPr>
        <w:rPr>
          <w:lang w:val="fr-CA"/>
        </w:rPr>
      </w:pPr>
      <w:r w:rsidRPr="0009076B">
        <w:rPr>
          <w:lang w:val="fr-CA"/>
        </w:rPr>
        <w:t xml:space="preserve">En vertu de l’article 158.62 (2) de la </w:t>
      </w:r>
      <w:r w:rsidRPr="00C366AE">
        <w:rPr>
          <w:i/>
          <w:lang w:val="fr-CA"/>
        </w:rPr>
        <w:t>Loi sur l’accise de 2001</w:t>
      </w:r>
      <w:r w:rsidRPr="0009076B">
        <w:rPr>
          <w:lang w:val="fr-CA"/>
        </w:rPr>
        <w:t xml:space="preserve">, les </w:t>
      </w:r>
      <w:r w:rsidRPr="00121B7A">
        <w:rPr>
          <w:lang w:val="fr-CA"/>
        </w:rPr>
        <w:t>produits de vapotage importés par un particulier pour son usage personnel sont exonérés des droits impo</w:t>
      </w:r>
      <w:r w:rsidRPr="004A46A0">
        <w:rPr>
          <w:lang w:val="fr-CA"/>
        </w:rPr>
        <w:t xml:space="preserve">sés </w:t>
      </w:r>
      <w:r w:rsidR="00C51F83" w:rsidRPr="004A46A0">
        <w:rPr>
          <w:lang w:val="fr-CA"/>
        </w:rPr>
        <w:t>(</w:t>
      </w:r>
      <w:r w:rsidR="00C51F83" w:rsidRPr="00CE70F3">
        <w:rPr>
          <w:lang w:val="fr-CA"/>
        </w:rPr>
        <w:t>d</w:t>
      </w:r>
      <w:r w:rsidR="00C51F83" w:rsidRPr="00CE70F3">
        <w:rPr>
          <w:rStyle w:val="Hyperlink"/>
          <w:color w:val="auto"/>
          <w:u w:val="none"/>
          <w:lang w:val="fr-CA"/>
        </w:rPr>
        <w:t xml:space="preserve">roit sur le vapotage et </w:t>
      </w:r>
      <w:r w:rsidR="00027BB4" w:rsidRPr="00CE70F3">
        <w:rPr>
          <w:rFonts w:cs="Arial"/>
          <w:szCs w:val="24"/>
          <w:lang w:val="fr-CA"/>
        </w:rPr>
        <w:t xml:space="preserve">droit </w:t>
      </w:r>
      <w:r w:rsidR="00027BB4" w:rsidRPr="00CE70F3">
        <w:rPr>
          <w:rFonts w:eastAsia="Times New Roman" w:cs="Arial"/>
          <w:szCs w:val="24"/>
          <w:lang w:val="fr-CA" w:bidi="en-US"/>
        </w:rPr>
        <w:t>additionnel</w:t>
      </w:r>
      <w:r w:rsidR="00027BB4" w:rsidRPr="00CE70F3">
        <w:rPr>
          <w:rFonts w:cs="Arial"/>
          <w:szCs w:val="24"/>
          <w:lang w:val="fr-CA"/>
        </w:rPr>
        <w:t xml:space="preserve"> sur le vapotage</w:t>
      </w:r>
      <w:r w:rsidR="00C51F83" w:rsidRPr="004A46A0">
        <w:rPr>
          <w:rStyle w:val="Hyperlink"/>
          <w:color w:val="auto"/>
          <w:u w:val="none"/>
          <w:lang w:val="fr-CA"/>
        </w:rPr>
        <w:t>)</w:t>
      </w:r>
      <w:r w:rsidR="00C51F83" w:rsidRPr="004A46A0">
        <w:rPr>
          <w:lang w:val="fr-CA"/>
        </w:rPr>
        <w:t xml:space="preserve"> </w:t>
      </w:r>
      <w:r w:rsidRPr="004A46A0">
        <w:rPr>
          <w:lang w:val="fr-CA"/>
        </w:rPr>
        <w:t>dans la mesure ou la quantité de produits</w:t>
      </w:r>
      <w:r w:rsidRPr="00121B7A">
        <w:rPr>
          <w:lang w:val="fr-CA"/>
        </w:rPr>
        <w:t xml:space="preserve"> importés</w:t>
      </w:r>
      <w:r w:rsidRPr="0009076B">
        <w:rPr>
          <w:lang w:val="fr-CA"/>
        </w:rPr>
        <w:t xml:space="preserve"> dépasse la quantité autorisée en vertu du chapitre 98 de la liste des dispositions tarifaires figurant à l’annexe du </w:t>
      </w:r>
      <w:r w:rsidRPr="00C366AE">
        <w:rPr>
          <w:i/>
          <w:lang w:val="fr-CA"/>
        </w:rPr>
        <w:t>Tarif des douanes</w:t>
      </w:r>
      <w:r w:rsidRPr="0009076B">
        <w:rPr>
          <w:lang w:val="fr-CA"/>
        </w:rPr>
        <w:t xml:space="preserve"> pour être importé sans paiement de droits, tel que défini la note 4 de ce chapitre. La quantité autorisée à être importée en franchis</w:t>
      </w:r>
      <w:r w:rsidR="00C366AE">
        <w:rPr>
          <w:lang w:val="fr-CA"/>
        </w:rPr>
        <w:t>e de droits est d’une unité.</w:t>
      </w:r>
    </w:p>
    <w:p w14:paraId="716EB7D8" w14:textId="7FDA9D09" w:rsidR="0009076B" w:rsidRPr="00CE70F3" w:rsidRDefault="0009076B" w:rsidP="00CE70F3">
      <w:pPr>
        <w:rPr>
          <w:b/>
          <w:lang w:val="fr-CA"/>
        </w:rPr>
      </w:pPr>
      <w:bookmarkStart w:id="35" w:name="SSH08"/>
      <w:r w:rsidRPr="00CE70F3">
        <w:rPr>
          <w:b/>
          <w:lang w:val="fr-CA"/>
        </w:rPr>
        <w:t>Importation pour être façonnés de nouveau ou destruction</w:t>
      </w:r>
      <w:bookmarkEnd w:id="35"/>
    </w:p>
    <w:p w14:paraId="3F8FE01E" w14:textId="0FA25309" w:rsidR="0009076B" w:rsidRPr="0009076B" w:rsidRDefault="0009076B" w:rsidP="00377AF9">
      <w:pPr>
        <w:rPr>
          <w:lang w:val="fr-CA"/>
        </w:rPr>
      </w:pPr>
      <w:r w:rsidRPr="0009076B">
        <w:rPr>
          <w:lang w:val="fr-CA"/>
        </w:rPr>
        <w:t xml:space="preserve">En vertu de l’article 158.64 de la </w:t>
      </w:r>
      <w:r w:rsidRPr="00C366AE">
        <w:rPr>
          <w:i/>
          <w:lang w:val="fr-CA"/>
        </w:rPr>
        <w:t>Loi sur l’accise de 2001</w:t>
      </w:r>
      <w:r w:rsidRPr="0009076B">
        <w:rPr>
          <w:lang w:val="fr-CA"/>
        </w:rPr>
        <w:t xml:space="preserve">, les produits de vapotage estampillés qui ont été fabriqués au Canada par un titulaire de licence de produits de vapotage et qui sont importés par celui-ci pour être façonnés de nouveau ou destruction conformément à l’article 158.53 de cette </w:t>
      </w:r>
      <w:r w:rsidR="00972971" w:rsidRPr="00377AF9">
        <w:rPr>
          <w:i/>
          <w:lang w:val="fr-CA"/>
        </w:rPr>
        <w:t>L</w:t>
      </w:r>
      <w:r w:rsidRPr="00377AF9">
        <w:rPr>
          <w:i/>
          <w:lang w:val="fr-CA"/>
        </w:rPr>
        <w:t>o</w:t>
      </w:r>
      <w:r w:rsidRPr="0009076B">
        <w:rPr>
          <w:lang w:val="fr-CA"/>
        </w:rPr>
        <w:t xml:space="preserve">i sont exonérés des droits imposés en vertu des alinéas 158.57(b) et 158.58(b) de cette </w:t>
      </w:r>
      <w:r w:rsidR="006B08AF" w:rsidRPr="00377AF9">
        <w:rPr>
          <w:i/>
          <w:lang w:val="fr-CA"/>
        </w:rPr>
        <w:t>L</w:t>
      </w:r>
      <w:r w:rsidRPr="00377AF9">
        <w:rPr>
          <w:i/>
          <w:lang w:val="fr-CA"/>
        </w:rPr>
        <w:t>oi</w:t>
      </w:r>
      <w:r w:rsidRPr="0009076B">
        <w:rPr>
          <w:lang w:val="fr-CA"/>
        </w:rPr>
        <w:t>.</w:t>
      </w:r>
    </w:p>
    <w:p w14:paraId="0D95A21D" w14:textId="01B26206" w:rsidR="0009076B" w:rsidRPr="00CE70F3" w:rsidRDefault="0009076B" w:rsidP="00CE70F3">
      <w:pPr>
        <w:rPr>
          <w:b/>
          <w:lang w:val="fr-CA"/>
        </w:rPr>
      </w:pPr>
      <w:bookmarkStart w:id="36" w:name="SSH09"/>
      <w:r w:rsidRPr="00CE70F3">
        <w:rPr>
          <w:b/>
          <w:lang w:val="fr-CA"/>
        </w:rPr>
        <w:t>Autres circonstances</w:t>
      </w:r>
      <w:bookmarkEnd w:id="36"/>
    </w:p>
    <w:p w14:paraId="4078E364" w14:textId="0FD0BFE1" w:rsidR="0009076B" w:rsidRPr="00121B7A" w:rsidRDefault="0009076B" w:rsidP="000D5C37">
      <w:pPr>
        <w:rPr>
          <w:lang w:val="fr-CA"/>
        </w:rPr>
      </w:pPr>
      <w:r w:rsidRPr="0009076B">
        <w:rPr>
          <w:lang w:val="fr-CA"/>
        </w:rPr>
        <w:t xml:space="preserve">L’article 158.66 de la </w:t>
      </w:r>
      <w:r w:rsidRPr="00C366AE">
        <w:rPr>
          <w:i/>
          <w:lang w:val="fr-CA"/>
        </w:rPr>
        <w:t>Loi sur l’accise de 2001</w:t>
      </w:r>
      <w:r w:rsidRPr="0009076B">
        <w:rPr>
          <w:lang w:val="fr-CA"/>
        </w:rPr>
        <w:t xml:space="preserve"> prévoit certaines </w:t>
      </w:r>
      <w:r w:rsidRPr="00121B7A">
        <w:rPr>
          <w:lang w:val="fr-CA"/>
        </w:rPr>
        <w:t xml:space="preserve">circonstances où le droit </w:t>
      </w:r>
      <w:r w:rsidR="00704817" w:rsidRPr="00CE70F3">
        <w:rPr>
          <w:lang w:val="fr-CA"/>
        </w:rPr>
        <w:t xml:space="preserve">et le droit </w:t>
      </w:r>
      <w:r w:rsidR="00704817" w:rsidRPr="00CE70F3">
        <w:rPr>
          <w:rFonts w:eastAsia="Times New Roman" w:cs="Arial"/>
          <w:szCs w:val="24"/>
          <w:lang w:val="fr-CA" w:bidi="en-US"/>
        </w:rPr>
        <w:t>additionnel</w:t>
      </w:r>
      <w:r w:rsidR="00704817" w:rsidRPr="00121B7A">
        <w:rPr>
          <w:lang w:val="fr-CA"/>
        </w:rPr>
        <w:t xml:space="preserve"> </w:t>
      </w:r>
      <w:r w:rsidR="00704817" w:rsidRPr="00CE70F3">
        <w:rPr>
          <w:lang w:val="fr-CA"/>
        </w:rPr>
        <w:t>ne sont pas exigibles</w:t>
      </w:r>
      <w:r w:rsidR="00704817" w:rsidRPr="00121B7A">
        <w:rPr>
          <w:lang w:val="fr-CA"/>
        </w:rPr>
        <w:t xml:space="preserve"> </w:t>
      </w:r>
      <w:r w:rsidRPr="00121B7A">
        <w:rPr>
          <w:lang w:val="fr-CA"/>
        </w:rPr>
        <w:t>sur des produits de vapotage, dont les produits de vapotage qui correspondent à la définition de drogue de produit de vapotage</w:t>
      </w:r>
      <w:r w:rsidR="00DB69BB" w:rsidRPr="00121B7A">
        <w:rPr>
          <w:lang w:val="fr-CA"/>
        </w:rPr>
        <w:t xml:space="preserve"> </w:t>
      </w:r>
      <w:r w:rsidR="00DB69BB" w:rsidRPr="00CE70F3">
        <w:rPr>
          <w:lang w:val="fr-CA"/>
        </w:rPr>
        <w:t xml:space="preserve">ou </w:t>
      </w:r>
      <w:r w:rsidR="00EA5AEB" w:rsidRPr="00CE70F3">
        <w:rPr>
          <w:lang w:val="fr-CA"/>
        </w:rPr>
        <w:t xml:space="preserve">sont </w:t>
      </w:r>
      <w:r w:rsidR="00DB69BB" w:rsidRPr="00CE70F3">
        <w:rPr>
          <w:lang w:val="fr-CA"/>
        </w:rPr>
        <w:t>importés pour analyse</w:t>
      </w:r>
      <w:r w:rsidRPr="00121B7A">
        <w:rPr>
          <w:lang w:val="fr-CA"/>
        </w:rPr>
        <w:t>.</w:t>
      </w:r>
      <w:r w:rsidR="00704817" w:rsidRPr="00121B7A">
        <w:rPr>
          <w:lang w:val="fr-CA"/>
        </w:rPr>
        <w:t xml:space="preserve"> </w:t>
      </w:r>
    </w:p>
    <w:bookmarkStart w:id="37" w:name="_Importation_de_produits_1"/>
    <w:bookmarkStart w:id="38" w:name="SH17"/>
    <w:bookmarkEnd w:id="37"/>
    <w:p w14:paraId="3F678924" w14:textId="77777777" w:rsidR="00860A71" w:rsidRPr="00CE70F3" w:rsidRDefault="00860A71" w:rsidP="007D6D16">
      <w:pPr>
        <w:pStyle w:val="Heading3"/>
      </w:pPr>
      <w:r w:rsidRPr="00121B7A">
        <w:fldChar w:fldCharType="begin"/>
      </w:r>
      <w:r w:rsidRPr="00121B7A">
        <w:instrText xml:space="preserve"> HYPERLINK \l "SH15" </w:instrText>
      </w:r>
      <w:r w:rsidRPr="00CE70F3">
        <w:fldChar w:fldCharType="separate"/>
      </w:r>
      <w:r w:rsidRPr="00CE70F3">
        <w:t>Importation de produits de vapotage estampillés – destinés au marché canadien des  marchandises acquittées</w:t>
      </w:r>
      <w:r w:rsidRPr="00CE70F3">
        <w:fldChar w:fldCharType="end"/>
      </w:r>
    </w:p>
    <w:p w14:paraId="78B83749" w14:textId="09B63B0B" w:rsidR="0009076B" w:rsidRPr="007D6D16" w:rsidRDefault="0009076B" w:rsidP="007D6D16">
      <w:pPr>
        <w:pStyle w:val="Heading3"/>
      </w:pPr>
      <w:bookmarkStart w:id="39" w:name="_Droit_sur_le"/>
      <w:bookmarkEnd w:id="39"/>
      <w:r w:rsidRPr="007D6D16">
        <w:t xml:space="preserve">Droit sur le vapotage </w:t>
      </w:r>
      <w:r w:rsidR="00860A71" w:rsidRPr="00CE70F3">
        <w:t>et droit additionnel</w:t>
      </w:r>
      <w:r w:rsidR="00EF260D" w:rsidRPr="007D6D16">
        <w:t xml:space="preserve"> sur le vapotage</w:t>
      </w:r>
      <w:r w:rsidR="00860A71" w:rsidRPr="00CE70F3">
        <w:t xml:space="preserve"> (le cas échéant) </w:t>
      </w:r>
      <w:r w:rsidR="00A02F11" w:rsidRPr="007D6D16">
        <w:t>–</w:t>
      </w:r>
      <w:r w:rsidRPr="007D6D16">
        <w:t xml:space="preserve"> </w:t>
      </w:r>
      <w:r w:rsidR="006A5F08" w:rsidRPr="007D6D16">
        <w:t>e</w:t>
      </w:r>
      <w:r w:rsidRPr="007D6D16">
        <w:t>xigible</w:t>
      </w:r>
      <w:r w:rsidR="00860A71" w:rsidRPr="00CE70F3">
        <w:t>s</w:t>
      </w:r>
      <w:r w:rsidR="00A02F11" w:rsidRPr="007D6D16">
        <w:t xml:space="preserve"> </w:t>
      </w:r>
    </w:p>
    <w:bookmarkEnd w:id="38"/>
    <w:p w14:paraId="0FC3DE12" w14:textId="3275FC49" w:rsidR="00A67B8F" w:rsidRPr="00CE70F3" w:rsidRDefault="008638E1" w:rsidP="00CE70F3">
      <w:pPr>
        <w:widowControl w:val="0"/>
        <w:tabs>
          <w:tab w:val="left" w:pos="674"/>
        </w:tabs>
        <w:autoSpaceDE w:val="0"/>
        <w:autoSpaceDN w:val="0"/>
        <w:ind w:right="1503"/>
        <w:rPr>
          <w:rFonts w:eastAsiaTheme="minorEastAsia" w:cs="Arial"/>
          <w:szCs w:val="24"/>
          <w:highlight w:val="yellow"/>
          <w:lang w:val="fr-CA"/>
        </w:rPr>
      </w:pPr>
      <w:r>
        <w:rPr>
          <w:lang w:val="fr-CA"/>
        </w:rPr>
        <w:t>55</w:t>
      </w:r>
      <w:r w:rsidR="00C366AE">
        <w:rPr>
          <w:lang w:val="fr-CA"/>
        </w:rPr>
        <w:t xml:space="preserve">. </w:t>
      </w:r>
      <w:r w:rsidR="0009076B" w:rsidRPr="0009076B">
        <w:rPr>
          <w:lang w:val="fr-CA"/>
        </w:rPr>
        <w:t xml:space="preserve">Aux termes de l’article 158.57 de la </w:t>
      </w:r>
      <w:r w:rsidR="0009076B" w:rsidRPr="003D2FC4">
        <w:rPr>
          <w:i/>
          <w:lang w:val="fr-CA"/>
        </w:rPr>
        <w:t>Loi de 2001 sur l’accise</w:t>
      </w:r>
      <w:r w:rsidR="0009076B" w:rsidRPr="0009076B">
        <w:rPr>
          <w:lang w:val="fr-CA"/>
        </w:rPr>
        <w:t>, le droit sur le vapotage est imposé sur les produits de vapotage fabriqués ou importés au Canada, au mo</w:t>
      </w:r>
      <w:r w:rsidR="003D2FC4">
        <w:rPr>
          <w:lang w:val="fr-CA"/>
        </w:rPr>
        <w:t xml:space="preserve">ntant déterminé selon l’annexe </w:t>
      </w:r>
      <w:r w:rsidR="0009076B" w:rsidRPr="0009076B">
        <w:rPr>
          <w:lang w:val="fr-CA"/>
        </w:rPr>
        <w:t xml:space="preserve">8 de cette </w:t>
      </w:r>
      <w:r w:rsidR="0009076B" w:rsidRPr="000D5C37">
        <w:rPr>
          <w:i/>
          <w:lang w:val="fr-CA"/>
        </w:rPr>
        <w:t>Loi</w:t>
      </w:r>
      <w:r w:rsidR="0009076B" w:rsidRPr="0009076B">
        <w:rPr>
          <w:lang w:val="fr-CA"/>
        </w:rPr>
        <w:t>.</w:t>
      </w:r>
      <w:r w:rsidR="00A67B8F">
        <w:rPr>
          <w:lang w:val="fr-CA"/>
        </w:rPr>
        <w:t xml:space="preserve"> </w:t>
      </w:r>
      <w:r w:rsidR="00AE171A">
        <w:rPr>
          <w:rFonts w:eastAsiaTheme="minorEastAsia" w:cs="Arial"/>
          <w:szCs w:val="24"/>
          <w:highlight w:val="yellow"/>
          <w:lang w:val="fr-CA"/>
        </w:rPr>
        <w:t>Le droit</w:t>
      </w:r>
      <w:r w:rsidR="001C5B68" w:rsidRPr="00CE70F3">
        <w:rPr>
          <w:rFonts w:eastAsiaTheme="minorEastAsia" w:cs="Arial"/>
          <w:szCs w:val="24"/>
          <w:highlight w:val="yellow"/>
          <w:lang w:val="fr-CA"/>
        </w:rPr>
        <w:t xml:space="preserve"> sur le</w:t>
      </w:r>
      <w:r w:rsidR="00AE171A">
        <w:rPr>
          <w:rFonts w:eastAsiaTheme="minorEastAsia" w:cs="Arial"/>
          <w:szCs w:val="24"/>
          <w:highlight w:val="yellow"/>
          <w:lang w:val="fr-CA"/>
        </w:rPr>
        <w:t xml:space="preserve"> vapotage est payé</w:t>
      </w:r>
      <w:r w:rsidR="00A67B8F" w:rsidRPr="00CE70F3">
        <w:rPr>
          <w:rFonts w:eastAsiaTheme="minorEastAsia" w:cs="Arial"/>
          <w:szCs w:val="24"/>
          <w:highlight w:val="yellow"/>
          <w:lang w:val="fr-CA"/>
        </w:rPr>
        <w:t xml:space="preserve"> à l'ASFC sur les produits de vapotage qui portent le </w:t>
      </w:r>
      <w:r w:rsidR="00403541" w:rsidRPr="00CE70F3">
        <w:rPr>
          <w:rFonts w:cs="Arial"/>
          <w:szCs w:val="24"/>
          <w:highlight w:val="yellow"/>
          <w:lang w:val="fr-CA"/>
        </w:rPr>
        <w:t>timbre de vapotage indicateur-CAN</w:t>
      </w:r>
      <w:r w:rsidR="004308EF" w:rsidRPr="00CE70F3">
        <w:rPr>
          <w:rFonts w:eastAsia="Times New Roman" w:cs="Arial"/>
          <w:szCs w:val="24"/>
          <w:highlight w:val="yellow"/>
          <w:lang w:val="fr-CA" w:bidi="en-US"/>
        </w:rPr>
        <w:t xml:space="preserve"> </w:t>
      </w:r>
      <w:r w:rsidR="00A67B8F" w:rsidRPr="00CE70F3">
        <w:rPr>
          <w:rFonts w:eastAsiaTheme="minorEastAsia" w:cs="Arial"/>
          <w:szCs w:val="24"/>
          <w:highlight w:val="yellow"/>
          <w:lang w:val="fr-CA"/>
        </w:rPr>
        <w:t>lors de leur importation.</w:t>
      </w:r>
    </w:p>
    <w:p w14:paraId="4E2DE20E" w14:textId="202D9543" w:rsidR="0009076B" w:rsidRDefault="0009076B" w:rsidP="0009076B">
      <w:pPr>
        <w:rPr>
          <w:lang w:val="fr-CA"/>
        </w:rPr>
      </w:pPr>
    </w:p>
    <w:p w14:paraId="7088F687" w14:textId="6AE4C505" w:rsidR="0051683A" w:rsidRPr="00703BAC" w:rsidRDefault="008638E1" w:rsidP="00CE0266">
      <w:pPr>
        <w:rPr>
          <w:rFonts w:eastAsia="Times New Roman" w:cs="Arial"/>
          <w:szCs w:val="24"/>
          <w:highlight w:val="yellow"/>
          <w:lang w:val="fr-CA" w:bidi="en-US"/>
        </w:rPr>
      </w:pPr>
      <w:r>
        <w:rPr>
          <w:highlight w:val="yellow"/>
          <w:lang w:val="fr-CA"/>
        </w:rPr>
        <w:lastRenderedPageBreak/>
        <w:t>56</w:t>
      </w:r>
      <w:r w:rsidR="00922307" w:rsidRPr="006F006A">
        <w:rPr>
          <w:highlight w:val="yellow"/>
          <w:lang w:val="fr-CA"/>
        </w:rPr>
        <w:t xml:space="preserve">. Un </w:t>
      </w:r>
      <w:r w:rsidR="00516F40" w:rsidRPr="00CE70F3">
        <w:rPr>
          <w:highlight w:val="yellow"/>
          <w:lang w:val="fr-CA"/>
        </w:rPr>
        <w:t xml:space="preserve">droit </w:t>
      </w:r>
      <w:r w:rsidR="00516F40" w:rsidRPr="00CE70F3">
        <w:rPr>
          <w:rFonts w:eastAsia="Times New Roman" w:cs="Arial"/>
          <w:szCs w:val="24"/>
          <w:highlight w:val="yellow"/>
          <w:lang w:val="fr-CA" w:bidi="en-US"/>
        </w:rPr>
        <w:t>additionnel</w:t>
      </w:r>
      <w:r w:rsidR="00516F40" w:rsidRPr="00CE70F3">
        <w:rPr>
          <w:highlight w:val="yellow"/>
          <w:lang w:val="fr-CA"/>
        </w:rPr>
        <w:t xml:space="preserve"> sur le vapotage</w:t>
      </w:r>
      <w:r w:rsidR="00922307" w:rsidRPr="001B3214">
        <w:rPr>
          <w:highlight w:val="yellow"/>
          <w:lang w:val="fr-CA"/>
        </w:rPr>
        <w:t xml:space="preserve"> à l'égard </w:t>
      </w:r>
      <w:r w:rsidR="00922307" w:rsidRPr="006F006A">
        <w:rPr>
          <w:highlight w:val="yellow"/>
          <w:lang w:val="fr-CA"/>
        </w:rPr>
        <w:t xml:space="preserve">d'une province déterminée de vapotage est imposé en vertu de l'article 158.58 de la </w:t>
      </w:r>
      <w:r w:rsidR="00922307" w:rsidRPr="006F006A">
        <w:rPr>
          <w:i/>
          <w:highlight w:val="yellow"/>
          <w:lang w:val="fr-CA"/>
        </w:rPr>
        <w:t>Loi de 2001 sur l'accise</w:t>
      </w:r>
      <w:r w:rsidR="00922307" w:rsidRPr="006F006A">
        <w:rPr>
          <w:highlight w:val="yellow"/>
          <w:lang w:val="fr-CA"/>
        </w:rPr>
        <w:t xml:space="preserve">, sur les produits de vapotage importés au Canada si les produits de vapotage sont destinés au </w:t>
      </w:r>
      <w:hyperlink w:anchor="SH15" w:history="1">
        <w:r w:rsidR="00922307" w:rsidRPr="006F006A">
          <w:rPr>
            <w:highlight w:val="yellow"/>
            <w:lang w:val="fr-CA"/>
          </w:rPr>
          <w:t>marché canadien des marchandises acquittées</w:t>
        </w:r>
      </w:hyperlink>
      <w:r w:rsidR="00922307" w:rsidRPr="006F006A">
        <w:rPr>
          <w:highlight w:val="yellow"/>
          <w:lang w:val="fr-CA"/>
        </w:rPr>
        <w:t xml:space="preserve"> de la province déterminée (pour la consommation, l'utilisation ou vente aux consommateurs dans une province ou un territoire coordonné). Par exemple, le </w:t>
      </w:r>
      <w:r w:rsidR="00516F40" w:rsidRPr="00CE70F3">
        <w:rPr>
          <w:highlight w:val="yellow"/>
          <w:lang w:val="fr-CA"/>
        </w:rPr>
        <w:t xml:space="preserve">droit </w:t>
      </w:r>
      <w:r w:rsidR="00516F40" w:rsidRPr="00CE70F3">
        <w:rPr>
          <w:rFonts w:eastAsia="Times New Roman" w:cs="Arial"/>
          <w:szCs w:val="24"/>
          <w:highlight w:val="yellow"/>
          <w:lang w:val="fr-CA" w:bidi="en-US"/>
        </w:rPr>
        <w:t>additionnel</w:t>
      </w:r>
      <w:r w:rsidR="00516F40" w:rsidRPr="00CE70F3">
        <w:rPr>
          <w:highlight w:val="yellow"/>
          <w:lang w:val="fr-CA"/>
        </w:rPr>
        <w:t xml:space="preserve"> sur le vapotage</w:t>
      </w:r>
      <w:r w:rsidR="00922307" w:rsidRPr="00D14570">
        <w:rPr>
          <w:highlight w:val="yellow"/>
          <w:lang w:val="fr-CA"/>
        </w:rPr>
        <w:t xml:space="preserve"> </w:t>
      </w:r>
      <w:r w:rsidR="00922307" w:rsidRPr="006F006A">
        <w:rPr>
          <w:highlight w:val="yellow"/>
          <w:lang w:val="fr-CA"/>
        </w:rPr>
        <w:t xml:space="preserve">s'appliquerait si les produits de vapotage sont importés au Manitoba mais sont destinés au marché ontarien </w:t>
      </w:r>
      <w:hyperlink w:anchor="SH15" w:history="1">
        <w:r w:rsidR="00E936F0" w:rsidRPr="006F006A">
          <w:rPr>
            <w:highlight w:val="yellow"/>
            <w:lang w:val="fr-CA"/>
          </w:rPr>
          <w:t>des marchandises acquittées</w:t>
        </w:r>
      </w:hyperlink>
      <w:r w:rsidR="00922307" w:rsidRPr="006F006A">
        <w:rPr>
          <w:highlight w:val="yellow"/>
          <w:lang w:val="fr-CA"/>
        </w:rPr>
        <w:t xml:space="preserve">. Le montant du </w:t>
      </w:r>
      <w:r w:rsidR="00516F40" w:rsidRPr="00CE70F3">
        <w:rPr>
          <w:highlight w:val="yellow"/>
          <w:lang w:val="fr-CA"/>
        </w:rPr>
        <w:t xml:space="preserve">droit </w:t>
      </w:r>
      <w:r w:rsidR="00516F40" w:rsidRPr="00CE70F3">
        <w:rPr>
          <w:rFonts w:eastAsia="Times New Roman" w:cs="Arial"/>
          <w:szCs w:val="24"/>
          <w:highlight w:val="yellow"/>
          <w:lang w:val="fr-CA" w:bidi="en-US"/>
        </w:rPr>
        <w:t>additionnel</w:t>
      </w:r>
      <w:r w:rsidR="00516F40" w:rsidRPr="00CE70F3">
        <w:rPr>
          <w:highlight w:val="yellow"/>
          <w:lang w:val="fr-CA"/>
        </w:rPr>
        <w:t xml:space="preserve"> sur le vapotage</w:t>
      </w:r>
      <w:r w:rsidR="00922307" w:rsidRPr="00D14570">
        <w:rPr>
          <w:highlight w:val="yellow"/>
          <w:lang w:val="fr-CA"/>
        </w:rPr>
        <w:t xml:space="preserve"> </w:t>
      </w:r>
      <w:r w:rsidR="00922307" w:rsidRPr="006F006A">
        <w:rPr>
          <w:highlight w:val="yellow"/>
          <w:lang w:val="fr-CA"/>
        </w:rPr>
        <w:t xml:space="preserve">à l'égard des produits de vapotage et d'une province déterminée de vapotage est égal au montant déterminé à l'égard des produits de vapotage en vertu de l'annexe 8 de cette </w:t>
      </w:r>
      <w:r w:rsidR="00922307" w:rsidRPr="00D14570">
        <w:rPr>
          <w:i/>
          <w:highlight w:val="yellow"/>
          <w:lang w:val="fr-CA"/>
        </w:rPr>
        <w:t>Loi</w:t>
      </w:r>
      <w:r w:rsidR="00922307" w:rsidRPr="00D14570">
        <w:rPr>
          <w:highlight w:val="yellow"/>
          <w:lang w:val="fr-CA"/>
        </w:rPr>
        <w:t>.</w:t>
      </w:r>
      <w:r w:rsidR="00CE0266" w:rsidRPr="00CE70F3">
        <w:rPr>
          <w:highlight w:val="yellow"/>
          <w:lang w:val="fr-CA"/>
        </w:rPr>
        <w:t xml:space="preserve"> </w:t>
      </w:r>
      <w:r w:rsidR="0039220A" w:rsidRPr="00D14570">
        <w:rPr>
          <w:rFonts w:eastAsia="Times New Roman" w:cs="Arial"/>
          <w:szCs w:val="24"/>
          <w:highlight w:val="yellow"/>
          <w:lang w:val="fr-CA" w:bidi="en-US"/>
        </w:rPr>
        <w:t>Le</w:t>
      </w:r>
      <w:r w:rsidR="00CE0266" w:rsidRPr="00D14570">
        <w:rPr>
          <w:rFonts w:eastAsia="Times New Roman" w:cs="Arial"/>
          <w:szCs w:val="24"/>
          <w:highlight w:val="yellow"/>
          <w:lang w:val="fr-CA" w:bidi="en-US"/>
        </w:rPr>
        <w:t xml:space="preserve"> </w:t>
      </w:r>
      <w:r w:rsidR="00516F40" w:rsidRPr="00CE70F3">
        <w:rPr>
          <w:highlight w:val="yellow"/>
          <w:lang w:val="fr-CA"/>
        </w:rPr>
        <w:t xml:space="preserve">droit </w:t>
      </w:r>
      <w:r w:rsidR="00516F40" w:rsidRPr="00CE70F3">
        <w:rPr>
          <w:rFonts w:eastAsia="Times New Roman" w:cs="Arial"/>
          <w:szCs w:val="24"/>
          <w:highlight w:val="yellow"/>
          <w:lang w:val="fr-CA" w:bidi="en-US"/>
        </w:rPr>
        <w:t>additionnel</w:t>
      </w:r>
      <w:r w:rsidR="00516F40" w:rsidRPr="00CE70F3">
        <w:rPr>
          <w:highlight w:val="yellow"/>
          <w:lang w:val="fr-CA"/>
        </w:rPr>
        <w:t xml:space="preserve"> sur le vapotage</w:t>
      </w:r>
      <w:r w:rsidR="00CE0266" w:rsidRPr="00D14570">
        <w:rPr>
          <w:rFonts w:eastAsia="Times New Roman" w:cs="Arial"/>
          <w:szCs w:val="24"/>
          <w:highlight w:val="yellow"/>
          <w:lang w:val="fr-CA" w:bidi="en-US"/>
        </w:rPr>
        <w:t xml:space="preserve"> </w:t>
      </w:r>
      <w:r w:rsidR="0051683A" w:rsidRPr="00D14570">
        <w:rPr>
          <w:rFonts w:eastAsia="Times New Roman" w:cs="Arial"/>
          <w:szCs w:val="24"/>
          <w:highlight w:val="yellow"/>
          <w:lang w:val="fr-CA" w:bidi="en-US"/>
        </w:rPr>
        <w:t xml:space="preserve">et </w:t>
      </w:r>
      <w:r w:rsidR="0039220A" w:rsidRPr="00CE70F3">
        <w:rPr>
          <w:rFonts w:eastAsia="Times New Roman" w:cs="Arial"/>
          <w:szCs w:val="24"/>
          <w:highlight w:val="yellow"/>
          <w:lang w:val="fr-CA" w:bidi="en-US"/>
        </w:rPr>
        <w:t>le droit sur le</w:t>
      </w:r>
      <w:r w:rsidR="0051683A" w:rsidRPr="00CE70F3">
        <w:rPr>
          <w:rFonts w:eastAsia="Times New Roman" w:cs="Arial"/>
          <w:szCs w:val="24"/>
          <w:highlight w:val="yellow"/>
          <w:lang w:val="fr-CA" w:bidi="en-US"/>
        </w:rPr>
        <w:t xml:space="preserve"> vapotage </w:t>
      </w:r>
      <w:r w:rsidR="00CE0266" w:rsidRPr="00D14570">
        <w:rPr>
          <w:rFonts w:eastAsia="Times New Roman" w:cs="Arial"/>
          <w:szCs w:val="24"/>
          <w:highlight w:val="yellow"/>
          <w:lang w:val="fr-CA" w:bidi="en-US"/>
        </w:rPr>
        <w:t xml:space="preserve">sont payés à l'ASFC sur les produits de vapotage qui portent le </w:t>
      </w:r>
      <w:r w:rsidR="00516F40" w:rsidRPr="00CE70F3">
        <w:rPr>
          <w:rFonts w:eastAsia="Times New Roman" w:cs="Arial"/>
          <w:szCs w:val="24"/>
          <w:highlight w:val="yellow"/>
          <w:lang w:val="fr-CA" w:bidi="en-US"/>
        </w:rPr>
        <w:t>timbre PT déterminé</w:t>
      </w:r>
      <w:r w:rsidR="00CE0266" w:rsidRPr="00D14570">
        <w:rPr>
          <w:rFonts w:eastAsia="Times New Roman" w:cs="Arial"/>
          <w:szCs w:val="24"/>
          <w:highlight w:val="yellow"/>
          <w:lang w:val="fr-CA" w:bidi="en-US"/>
        </w:rPr>
        <w:t xml:space="preserve"> lorsqu'ils sont importés</w:t>
      </w:r>
      <w:r w:rsidR="0051683A" w:rsidRPr="00D14570">
        <w:rPr>
          <w:rFonts w:eastAsia="Times New Roman" w:cs="Arial"/>
          <w:szCs w:val="24"/>
          <w:highlight w:val="yellow"/>
          <w:lang w:val="fr-CA" w:bidi="en-US"/>
        </w:rPr>
        <w:t xml:space="preserve"> si </w:t>
      </w:r>
      <w:r w:rsidR="0051683A" w:rsidRPr="00D14570">
        <w:rPr>
          <w:highlight w:val="yellow"/>
          <w:lang w:val="fr-CA"/>
        </w:rPr>
        <w:t xml:space="preserve">les produits de vapotage sont destinés </w:t>
      </w:r>
      <w:r w:rsidR="00DD5B0A" w:rsidRPr="00D14570">
        <w:rPr>
          <w:highlight w:val="yellow"/>
          <w:lang w:val="fr-CA"/>
        </w:rPr>
        <w:t xml:space="preserve">au </w:t>
      </w:r>
      <w:hyperlink w:anchor="SH15" w:history="1">
        <w:r w:rsidR="00DD5B0A" w:rsidRPr="00D14570">
          <w:rPr>
            <w:highlight w:val="yellow"/>
            <w:lang w:val="fr-CA"/>
          </w:rPr>
          <w:t>marché canadien des marchandises acquittées</w:t>
        </w:r>
      </w:hyperlink>
      <w:r w:rsidR="00DD5B0A" w:rsidRPr="00D14570">
        <w:rPr>
          <w:highlight w:val="yellow"/>
          <w:lang w:val="fr-CA"/>
        </w:rPr>
        <w:t xml:space="preserve"> de la province déterminée</w:t>
      </w:r>
      <w:r w:rsidR="0051683A" w:rsidRPr="00D14570">
        <w:rPr>
          <w:highlight w:val="yellow"/>
          <w:lang w:val="fr-CA"/>
        </w:rPr>
        <w:t>.</w:t>
      </w:r>
    </w:p>
    <w:p w14:paraId="51461AB6" w14:textId="77BD1F00" w:rsidR="0009076B" w:rsidRPr="00D14570" w:rsidRDefault="00CE0266" w:rsidP="0009076B">
      <w:pPr>
        <w:rPr>
          <w:lang w:val="fr-CA"/>
        </w:rPr>
      </w:pPr>
      <w:r w:rsidRPr="00CE70F3">
        <w:rPr>
          <w:lang w:val="fr-CA"/>
        </w:rPr>
        <w:t>57</w:t>
      </w:r>
      <w:r w:rsidR="00C366AE" w:rsidRPr="00121B7A">
        <w:rPr>
          <w:lang w:val="fr-CA"/>
        </w:rPr>
        <w:t xml:space="preserve">. </w:t>
      </w:r>
      <w:r w:rsidR="0009076B" w:rsidRPr="00121B7A">
        <w:rPr>
          <w:lang w:val="fr-CA"/>
        </w:rPr>
        <w:t>Aux</w:t>
      </w:r>
      <w:r w:rsidR="0009076B" w:rsidRPr="0009076B">
        <w:rPr>
          <w:lang w:val="fr-CA"/>
        </w:rPr>
        <w:t xml:space="preserve"> termes de </w:t>
      </w:r>
      <w:r w:rsidR="0009076B" w:rsidRPr="00D14570">
        <w:rPr>
          <w:lang w:val="fr-CA"/>
        </w:rPr>
        <w:t xml:space="preserve">l’article 158.59 de la </w:t>
      </w:r>
      <w:r w:rsidR="0009076B" w:rsidRPr="00D14570">
        <w:rPr>
          <w:i/>
          <w:lang w:val="fr-CA"/>
        </w:rPr>
        <w:t>Loi de 2001 sur l’accise</w:t>
      </w:r>
      <w:r w:rsidR="003D2FC4" w:rsidRPr="00D14570">
        <w:rPr>
          <w:lang w:val="fr-CA"/>
        </w:rPr>
        <w:t xml:space="preserve">, le </w:t>
      </w:r>
      <w:r w:rsidR="0009076B" w:rsidRPr="00D14570">
        <w:rPr>
          <w:lang w:val="fr-CA"/>
        </w:rPr>
        <w:t xml:space="preserve">droit sur le vapotage </w:t>
      </w:r>
      <w:r w:rsidR="001C5254" w:rsidRPr="00D14570">
        <w:rPr>
          <w:lang w:val="fr-CA"/>
        </w:rPr>
        <w:t xml:space="preserve">et </w:t>
      </w:r>
      <w:r w:rsidR="00E83C5F" w:rsidRPr="00D14570">
        <w:rPr>
          <w:lang w:val="fr-CA"/>
        </w:rPr>
        <w:t xml:space="preserve">le </w:t>
      </w:r>
      <w:r w:rsidR="00A6050D" w:rsidRPr="00CE70F3">
        <w:rPr>
          <w:rFonts w:cs="Arial"/>
          <w:szCs w:val="24"/>
          <w:lang w:val="fr-CA"/>
        </w:rPr>
        <w:t xml:space="preserve">droit </w:t>
      </w:r>
      <w:r w:rsidR="00A6050D" w:rsidRPr="00CE70F3">
        <w:rPr>
          <w:rFonts w:eastAsia="Times New Roman" w:cs="Arial"/>
          <w:szCs w:val="24"/>
          <w:lang w:val="fr-CA" w:bidi="en-US"/>
        </w:rPr>
        <w:t>additionnel</w:t>
      </w:r>
      <w:r w:rsidR="00A6050D" w:rsidRPr="00CE70F3">
        <w:rPr>
          <w:rFonts w:cs="Arial"/>
          <w:szCs w:val="24"/>
          <w:lang w:val="fr-CA"/>
        </w:rPr>
        <w:t xml:space="preserve"> sur le vapotage</w:t>
      </w:r>
      <w:r w:rsidR="00A6050D" w:rsidRPr="00D14570" w:rsidDel="00A6050D">
        <w:rPr>
          <w:lang w:val="fr-CA"/>
        </w:rPr>
        <w:t xml:space="preserve"> </w:t>
      </w:r>
      <w:r w:rsidR="0009076B" w:rsidRPr="00D14570">
        <w:rPr>
          <w:lang w:val="fr-CA"/>
        </w:rPr>
        <w:t>concernant les produits de vapotage importés</w:t>
      </w:r>
      <w:r w:rsidR="00E83C5F" w:rsidRPr="00D14570">
        <w:rPr>
          <w:lang w:val="fr-CA"/>
        </w:rPr>
        <w:t xml:space="preserve"> </w:t>
      </w:r>
      <w:r w:rsidR="00E83C5F" w:rsidRPr="00CE70F3">
        <w:rPr>
          <w:lang w:val="fr-CA"/>
        </w:rPr>
        <w:t>sont</w:t>
      </w:r>
      <w:r w:rsidR="0009076B" w:rsidRPr="00CE70F3">
        <w:rPr>
          <w:lang w:val="fr-CA"/>
        </w:rPr>
        <w:t xml:space="preserve"> payé</w:t>
      </w:r>
      <w:r w:rsidR="00E83C5F" w:rsidRPr="00CE70F3">
        <w:rPr>
          <w:lang w:val="fr-CA"/>
        </w:rPr>
        <w:t>s</w:t>
      </w:r>
      <w:r w:rsidR="0009076B" w:rsidRPr="00D14570">
        <w:rPr>
          <w:lang w:val="fr-CA"/>
        </w:rPr>
        <w:t xml:space="preserve"> et perçu</w:t>
      </w:r>
      <w:r w:rsidR="001C5254" w:rsidRPr="00D14570">
        <w:rPr>
          <w:lang w:val="fr-CA"/>
        </w:rPr>
        <w:t>s</w:t>
      </w:r>
      <w:r w:rsidR="0009076B" w:rsidRPr="00D14570">
        <w:rPr>
          <w:lang w:val="fr-CA"/>
        </w:rPr>
        <w:t xml:space="preserve"> aux termes de la </w:t>
      </w:r>
      <w:r w:rsidR="0009076B" w:rsidRPr="00D14570">
        <w:rPr>
          <w:i/>
          <w:lang w:val="fr-CA"/>
        </w:rPr>
        <w:t>Loi sur les douanes</w:t>
      </w:r>
      <w:r w:rsidR="0009076B" w:rsidRPr="00D14570">
        <w:rPr>
          <w:lang w:val="fr-CA"/>
        </w:rPr>
        <w:t xml:space="preserve">. Des intérêts et pénalités sont imposés, calculés, payés et perçus aux termes de la </w:t>
      </w:r>
      <w:r w:rsidR="0009076B" w:rsidRPr="00D14570">
        <w:rPr>
          <w:i/>
          <w:lang w:val="fr-CA"/>
        </w:rPr>
        <w:t>Loi sur les douanes</w:t>
      </w:r>
      <w:r w:rsidR="0009076B" w:rsidRPr="00D14570">
        <w:rPr>
          <w:lang w:val="fr-CA"/>
        </w:rPr>
        <w:t xml:space="preserve"> comme si le droit était un droit perçu sur le produit de vapotage en vertu du </w:t>
      </w:r>
      <w:r w:rsidR="0009076B" w:rsidRPr="00D14570">
        <w:rPr>
          <w:i/>
          <w:lang w:val="fr-CA"/>
        </w:rPr>
        <w:t>Tarif des douanes</w:t>
      </w:r>
      <w:r w:rsidR="0009076B" w:rsidRPr="00D14570">
        <w:rPr>
          <w:lang w:val="fr-CA"/>
        </w:rPr>
        <w:t xml:space="preserve">. À ces fins, la </w:t>
      </w:r>
      <w:r w:rsidR="0009076B" w:rsidRPr="00D14570">
        <w:rPr>
          <w:i/>
          <w:lang w:val="fr-CA"/>
        </w:rPr>
        <w:t>Loi sur les douanes</w:t>
      </w:r>
      <w:r w:rsidR="0009076B" w:rsidRPr="00D14570">
        <w:rPr>
          <w:lang w:val="fr-CA"/>
        </w:rPr>
        <w:t xml:space="preserve"> s’applique avec les adaptations nécessaires.</w:t>
      </w:r>
    </w:p>
    <w:p w14:paraId="097B99FA" w14:textId="64239601" w:rsidR="0009076B" w:rsidRPr="00D14570" w:rsidRDefault="00C85DD2" w:rsidP="0009076B">
      <w:pPr>
        <w:rPr>
          <w:lang w:val="fr-CA"/>
        </w:rPr>
      </w:pPr>
      <w:r w:rsidRPr="00D14570">
        <w:rPr>
          <w:lang w:val="fr-CA"/>
        </w:rPr>
        <w:t>58</w:t>
      </w:r>
      <w:r w:rsidR="003D2FC4" w:rsidRPr="00D14570">
        <w:rPr>
          <w:lang w:val="fr-CA"/>
        </w:rPr>
        <w:t xml:space="preserve">. </w:t>
      </w:r>
      <w:r w:rsidR="0009076B" w:rsidRPr="00D14570">
        <w:rPr>
          <w:lang w:val="fr-CA"/>
        </w:rPr>
        <w:t xml:space="preserve">Dans les cas de produits de vapotage importés, l’importateur, le propriétaire ou toute personne qui est tenue en vertu de la </w:t>
      </w:r>
      <w:r w:rsidR="0009076B" w:rsidRPr="00D14570">
        <w:rPr>
          <w:i/>
          <w:lang w:val="fr-CA"/>
        </w:rPr>
        <w:t xml:space="preserve">Loi sur les douanes </w:t>
      </w:r>
      <w:r w:rsidR="0009076B" w:rsidRPr="00D14570">
        <w:rPr>
          <w:lang w:val="fr-CA"/>
        </w:rPr>
        <w:t xml:space="preserve">de payer les droits prévus aux termes de l’article 20 du </w:t>
      </w:r>
      <w:r w:rsidR="0009076B" w:rsidRPr="00D14570">
        <w:rPr>
          <w:i/>
          <w:lang w:val="fr-CA"/>
        </w:rPr>
        <w:t>Tarif des douanes</w:t>
      </w:r>
      <w:r w:rsidR="0009076B" w:rsidRPr="00D14570">
        <w:rPr>
          <w:lang w:val="fr-CA"/>
        </w:rPr>
        <w:t xml:space="preserve">, doit payer </w:t>
      </w:r>
      <w:r w:rsidR="00036925" w:rsidRPr="00CE70F3">
        <w:rPr>
          <w:lang w:val="fr-CA"/>
        </w:rPr>
        <w:t xml:space="preserve">le droit sur le vapotage et le </w:t>
      </w:r>
      <w:r w:rsidR="008D09F2" w:rsidRPr="00CE70F3">
        <w:rPr>
          <w:rFonts w:cs="Arial"/>
          <w:szCs w:val="24"/>
          <w:lang w:val="fr-CA"/>
        </w:rPr>
        <w:t xml:space="preserve">droit </w:t>
      </w:r>
      <w:r w:rsidR="008D09F2" w:rsidRPr="00CE70F3">
        <w:rPr>
          <w:rFonts w:eastAsia="Times New Roman" w:cs="Arial"/>
          <w:szCs w:val="24"/>
          <w:lang w:val="fr-CA" w:bidi="en-US"/>
        </w:rPr>
        <w:t>additionnel</w:t>
      </w:r>
      <w:r w:rsidR="008D09F2" w:rsidRPr="00CE70F3">
        <w:rPr>
          <w:rFonts w:cs="Arial"/>
          <w:szCs w:val="24"/>
          <w:lang w:val="fr-CA"/>
        </w:rPr>
        <w:t xml:space="preserve"> sur le vapotage</w:t>
      </w:r>
      <w:r w:rsidR="008D09F2" w:rsidRPr="00D14570" w:rsidDel="008D09F2">
        <w:rPr>
          <w:lang w:val="fr-CA"/>
        </w:rPr>
        <w:t xml:space="preserve"> </w:t>
      </w:r>
      <w:r w:rsidR="0009076B" w:rsidRPr="00D14570">
        <w:rPr>
          <w:lang w:val="fr-CA"/>
        </w:rPr>
        <w:t xml:space="preserve">au moment de la déclaration en détail à l’ASFC. Dans les cas de produits de vapotage emballés qui sont importés par un titulaire de licence de produits de vapotage pour estampillage, le </w:t>
      </w:r>
      <w:r w:rsidR="00B209AF" w:rsidRPr="00CE70F3">
        <w:rPr>
          <w:lang w:val="fr-CA"/>
        </w:rPr>
        <w:t xml:space="preserve">droit sur le vapotage et le </w:t>
      </w:r>
      <w:r w:rsidR="008D09F2" w:rsidRPr="00CE70F3">
        <w:rPr>
          <w:rFonts w:cs="Arial"/>
          <w:szCs w:val="24"/>
          <w:lang w:val="fr-CA"/>
        </w:rPr>
        <w:t xml:space="preserve">droit </w:t>
      </w:r>
      <w:r w:rsidR="008D09F2" w:rsidRPr="00CE70F3">
        <w:rPr>
          <w:rFonts w:eastAsia="Times New Roman" w:cs="Arial"/>
          <w:szCs w:val="24"/>
          <w:lang w:val="fr-CA" w:bidi="en-US"/>
        </w:rPr>
        <w:t>additionnel</w:t>
      </w:r>
      <w:r w:rsidR="008D09F2" w:rsidRPr="00CE70F3">
        <w:rPr>
          <w:rFonts w:cs="Arial"/>
          <w:szCs w:val="24"/>
          <w:lang w:val="fr-CA"/>
        </w:rPr>
        <w:t xml:space="preserve"> sur le vapotage</w:t>
      </w:r>
      <w:r w:rsidR="008D09F2" w:rsidRPr="00D14570" w:rsidDel="008D09F2">
        <w:rPr>
          <w:lang w:val="fr-CA"/>
        </w:rPr>
        <w:t xml:space="preserve"> </w:t>
      </w:r>
      <w:r w:rsidR="00B209AF" w:rsidRPr="00CE70F3">
        <w:rPr>
          <w:lang w:val="fr-CA"/>
        </w:rPr>
        <w:t>sont exigibles</w:t>
      </w:r>
      <w:r w:rsidR="00B209AF" w:rsidRPr="00D14570">
        <w:rPr>
          <w:lang w:val="fr-CA"/>
        </w:rPr>
        <w:t xml:space="preserve"> </w:t>
      </w:r>
      <w:r w:rsidR="0009076B" w:rsidRPr="00D14570">
        <w:rPr>
          <w:lang w:val="fr-CA"/>
        </w:rPr>
        <w:t>du titulaire de licence de produits de vapotage au mome</w:t>
      </w:r>
      <w:r w:rsidR="00B209AF" w:rsidRPr="00D14570">
        <w:rPr>
          <w:lang w:val="fr-CA"/>
        </w:rPr>
        <w:t xml:space="preserve">nt de leur estampillage, et </w:t>
      </w:r>
      <w:r w:rsidR="00B209AF" w:rsidRPr="00CE70F3">
        <w:rPr>
          <w:lang w:val="fr-CA"/>
        </w:rPr>
        <w:t>doivent</w:t>
      </w:r>
      <w:r w:rsidR="0009076B" w:rsidRPr="00CE70F3">
        <w:rPr>
          <w:lang w:val="fr-CA"/>
        </w:rPr>
        <w:t xml:space="preserve"> être versé</w:t>
      </w:r>
      <w:r w:rsidR="00B209AF" w:rsidRPr="00CE70F3">
        <w:rPr>
          <w:lang w:val="fr-CA"/>
        </w:rPr>
        <w:t>s</w:t>
      </w:r>
      <w:r w:rsidR="0009076B" w:rsidRPr="00D14570">
        <w:rPr>
          <w:lang w:val="fr-CA"/>
        </w:rPr>
        <w:t xml:space="preserve"> à l’ARC. Pour plus de renseignements, consultez la section </w:t>
      </w:r>
      <w:hyperlink w:anchor="Declaration" w:history="1">
        <w:r w:rsidR="0009076B" w:rsidRPr="00D14570">
          <w:rPr>
            <w:rStyle w:val="Hyperlink"/>
            <w:color w:val="auto"/>
            <w:u w:val="none"/>
            <w:lang w:val="fr-CA"/>
          </w:rPr>
          <w:t>Déclaration et déclaration en détail</w:t>
        </w:r>
      </w:hyperlink>
      <w:r w:rsidR="007B5D66" w:rsidRPr="00D14570">
        <w:rPr>
          <w:lang w:val="fr-CA"/>
        </w:rPr>
        <w:t xml:space="preserve"> </w:t>
      </w:r>
      <w:r w:rsidR="0009076B" w:rsidRPr="00D14570">
        <w:rPr>
          <w:lang w:val="fr-CA"/>
        </w:rPr>
        <w:t>de ce mémorandum.</w:t>
      </w:r>
    </w:p>
    <w:p w14:paraId="39730315" w14:textId="443E9AD3" w:rsidR="0009076B" w:rsidRPr="00A3307F" w:rsidRDefault="0009076B" w:rsidP="007D6D16">
      <w:pPr>
        <w:pStyle w:val="Heading3"/>
      </w:pPr>
      <w:bookmarkStart w:id="40" w:name="_Taux_du_droit"/>
      <w:bookmarkStart w:id="41" w:name="SH19"/>
      <w:bookmarkEnd w:id="40"/>
      <w:r w:rsidRPr="00D14570">
        <w:t>Taux du droit sur le vapotage</w:t>
      </w:r>
      <w:bookmarkEnd w:id="41"/>
      <w:r w:rsidR="00A02F11" w:rsidRPr="00D14570">
        <w:t xml:space="preserve"> </w:t>
      </w:r>
      <w:r w:rsidR="00A3307F" w:rsidRPr="00CE70F3">
        <w:t>et du droit additionnel</w:t>
      </w:r>
      <w:r w:rsidR="00ED1DA2" w:rsidRPr="00D14570">
        <w:t xml:space="preserve"> sur le vapotage</w:t>
      </w:r>
    </w:p>
    <w:p w14:paraId="0C4A0F34" w14:textId="6B13958D" w:rsidR="0009076B" w:rsidRDefault="00C85DD2" w:rsidP="0009076B">
      <w:pPr>
        <w:rPr>
          <w:lang w:val="fr-CA"/>
        </w:rPr>
      </w:pPr>
      <w:r>
        <w:rPr>
          <w:lang w:val="fr-CA"/>
        </w:rPr>
        <w:t>59</w:t>
      </w:r>
      <w:r w:rsidR="003D2FC4">
        <w:rPr>
          <w:lang w:val="fr-CA"/>
        </w:rPr>
        <w:t xml:space="preserve">. </w:t>
      </w:r>
      <w:r w:rsidR="0009076B" w:rsidRPr="0009076B">
        <w:rPr>
          <w:lang w:val="fr-CA"/>
        </w:rPr>
        <w:t xml:space="preserve">Les taux du droit sur le vapotage imposés sur les substances de vapotage sous forme liquide aux termes de l’article 158.57 de la </w:t>
      </w:r>
      <w:r w:rsidR="0009076B" w:rsidRPr="00874893">
        <w:rPr>
          <w:i/>
          <w:lang w:val="fr-CA"/>
        </w:rPr>
        <w:t>Loi sur l’accise de 2001</w:t>
      </w:r>
      <w:r w:rsidR="0009076B" w:rsidRPr="0009076B">
        <w:rPr>
          <w:lang w:val="fr-CA"/>
        </w:rPr>
        <w:t xml:space="preserve"> sont :</w:t>
      </w:r>
    </w:p>
    <w:p w14:paraId="1035F7D0" w14:textId="37D66E54" w:rsidR="0009076B" w:rsidRDefault="00795C49" w:rsidP="0049271B">
      <w:pPr>
        <w:ind w:left="284"/>
        <w:rPr>
          <w:lang w:val="fr-CA"/>
        </w:rPr>
      </w:pPr>
      <w:r>
        <w:rPr>
          <w:lang w:val="fr-CA"/>
        </w:rPr>
        <w:t xml:space="preserve">a) </w:t>
      </w:r>
      <w:r w:rsidR="0009076B" w:rsidRPr="00C85DD2">
        <w:rPr>
          <w:highlight w:val="yellow"/>
          <w:lang w:val="fr-CA"/>
        </w:rPr>
        <w:t>1</w:t>
      </w:r>
      <w:r w:rsidR="00C85DD2" w:rsidRPr="00C85DD2">
        <w:rPr>
          <w:highlight w:val="yellow"/>
          <w:lang w:val="fr-CA"/>
        </w:rPr>
        <w:t>,12</w:t>
      </w:r>
      <w:r w:rsidR="0009076B" w:rsidRPr="0009076B">
        <w:rPr>
          <w:lang w:val="fr-CA"/>
        </w:rPr>
        <w:t xml:space="preserve"> $ par 2 </w:t>
      </w:r>
      <w:r w:rsidR="00982DBA" w:rsidRPr="0009076B">
        <w:rPr>
          <w:lang w:val="fr-CA"/>
        </w:rPr>
        <w:t>millilitres</w:t>
      </w:r>
      <w:r w:rsidR="0009076B" w:rsidRPr="0009076B">
        <w:rPr>
          <w:lang w:val="fr-CA"/>
        </w:rPr>
        <w:t xml:space="preserve"> (</w:t>
      </w:r>
      <w:r w:rsidR="00982DBA" w:rsidRPr="0009076B">
        <w:rPr>
          <w:lang w:val="fr-CA"/>
        </w:rPr>
        <w:t>ml</w:t>
      </w:r>
      <w:r w:rsidR="0009076B" w:rsidRPr="0009076B">
        <w:rPr>
          <w:lang w:val="fr-CA"/>
        </w:rPr>
        <w:t xml:space="preserve">) ou fraction de cette quantité, pour la première quantité de 10 </w:t>
      </w:r>
      <w:r w:rsidR="00982DBA" w:rsidRPr="0009076B">
        <w:rPr>
          <w:lang w:val="fr-CA"/>
        </w:rPr>
        <w:t>ml</w:t>
      </w:r>
      <w:r w:rsidR="0009076B" w:rsidRPr="0009076B">
        <w:rPr>
          <w:lang w:val="fr-CA"/>
        </w:rPr>
        <w:t xml:space="preserve"> de substance de vapotage dans un dispositif de vapotage ou dans son contenant immédiat</w:t>
      </w:r>
    </w:p>
    <w:p w14:paraId="0170A9B4" w14:textId="1FC35F31" w:rsidR="0009076B" w:rsidRPr="0009076B" w:rsidRDefault="00795C49" w:rsidP="003D2FC4">
      <w:pPr>
        <w:ind w:left="284"/>
        <w:rPr>
          <w:lang w:val="fr-CA"/>
        </w:rPr>
      </w:pPr>
      <w:r>
        <w:rPr>
          <w:lang w:val="fr-CA"/>
        </w:rPr>
        <w:t xml:space="preserve">b) </w:t>
      </w:r>
      <w:r w:rsidR="0009076B" w:rsidRPr="00C85DD2">
        <w:rPr>
          <w:highlight w:val="yellow"/>
          <w:lang w:val="fr-CA"/>
        </w:rPr>
        <w:t>1</w:t>
      </w:r>
      <w:r w:rsidR="00C85DD2" w:rsidRPr="00C85DD2">
        <w:rPr>
          <w:highlight w:val="yellow"/>
          <w:lang w:val="fr-CA"/>
        </w:rPr>
        <w:t>,12</w:t>
      </w:r>
      <w:r w:rsidR="0009076B" w:rsidRPr="0009076B">
        <w:rPr>
          <w:lang w:val="fr-CA"/>
        </w:rPr>
        <w:t xml:space="preserve"> $ par quantité supplémentaire de 10 </w:t>
      </w:r>
      <w:r w:rsidR="00982DBA" w:rsidRPr="0009076B">
        <w:rPr>
          <w:lang w:val="fr-CA"/>
        </w:rPr>
        <w:t>ml</w:t>
      </w:r>
      <w:r w:rsidR="0009076B" w:rsidRPr="0009076B">
        <w:rPr>
          <w:lang w:val="fr-CA"/>
        </w:rPr>
        <w:t xml:space="preserve"> ou fraction de cette quantité</w:t>
      </w:r>
    </w:p>
    <w:p w14:paraId="5A2B0846" w14:textId="05A37B2C" w:rsidR="0009076B" w:rsidRPr="0009076B" w:rsidRDefault="00C85DD2" w:rsidP="0009076B">
      <w:pPr>
        <w:rPr>
          <w:lang w:val="fr-CA"/>
        </w:rPr>
      </w:pPr>
      <w:r>
        <w:rPr>
          <w:lang w:val="fr-CA"/>
        </w:rPr>
        <w:t>60</w:t>
      </w:r>
      <w:r w:rsidR="003D2FC4">
        <w:rPr>
          <w:lang w:val="fr-CA"/>
        </w:rPr>
        <w:t xml:space="preserve">. </w:t>
      </w:r>
      <w:r w:rsidR="0009076B" w:rsidRPr="0009076B">
        <w:rPr>
          <w:lang w:val="fr-CA"/>
        </w:rPr>
        <w:t xml:space="preserve">Les taux du droit sur le vapotage imposés sur les substances de vapotage sous forme solide aux termes de l’article 158.57 de la </w:t>
      </w:r>
      <w:r w:rsidR="0009076B" w:rsidRPr="003D2FC4">
        <w:rPr>
          <w:i/>
          <w:lang w:val="fr-CA"/>
        </w:rPr>
        <w:t>Loi sur l’accise de 2001</w:t>
      </w:r>
      <w:r w:rsidR="0009076B" w:rsidRPr="0009076B">
        <w:rPr>
          <w:lang w:val="fr-CA"/>
        </w:rPr>
        <w:t xml:space="preserve"> sont :</w:t>
      </w:r>
    </w:p>
    <w:p w14:paraId="3FE953E0" w14:textId="4CF8AFDA" w:rsidR="0009076B" w:rsidRPr="0009076B" w:rsidRDefault="00795C49" w:rsidP="003D2FC4">
      <w:pPr>
        <w:ind w:left="284"/>
        <w:rPr>
          <w:lang w:val="fr-CA"/>
        </w:rPr>
      </w:pPr>
      <w:r>
        <w:rPr>
          <w:lang w:val="fr-CA"/>
        </w:rPr>
        <w:t xml:space="preserve">a) </w:t>
      </w:r>
      <w:r w:rsidR="0009076B" w:rsidRPr="00C85DD2">
        <w:rPr>
          <w:highlight w:val="yellow"/>
          <w:lang w:val="fr-CA"/>
        </w:rPr>
        <w:t>1</w:t>
      </w:r>
      <w:r w:rsidR="00C85DD2" w:rsidRPr="00C85DD2">
        <w:rPr>
          <w:highlight w:val="yellow"/>
          <w:lang w:val="fr-CA"/>
        </w:rPr>
        <w:t>,12</w:t>
      </w:r>
      <w:r w:rsidR="0009076B" w:rsidRPr="0009076B">
        <w:rPr>
          <w:lang w:val="fr-CA"/>
        </w:rPr>
        <w:t xml:space="preserve"> $ par 2 grammes (g) ou fraction de cette quantité, pour la première quantité de 10 g de substance de vapotage dans un dispositif de vapotage ou dans son contenant immédiat</w:t>
      </w:r>
    </w:p>
    <w:p w14:paraId="754393A2" w14:textId="0197110A" w:rsidR="0009076B" w:rsidRDefault="00795C49" w:rsidP="003D2FC4">
      <w:pPr>
        <w:ind w:left="284"/>
        <w:rPr>
          <w:lang w:val="fr-CA"/>
        </w:rPr>
      </w:pPr>
      <w:r>
        <w:rPr>
          <w:lang w:val="fr-CA"/>
        </w:rPr>
        <w:t xml:space="preserve">b) </w:t>
      </w:r>
      <w:r w:rsidR="0009076B" w:rsidRPr="00CE70F3">
        <w:rPr>
          <w:highlight w:val="yellow"/>
          <w:lang w:val="fr-CA"/>
        </w:rPr>
        <w:t>1</w:t>
      </w:r>
      <w:r w:rsidR="00C85DD2" w:rsidRPr="00CE70F3">
        <w:rPr>
          <w:highlight w:val="yellow"/>
          <w:lang w:val="fr-CA"/>
        </w:rPr>
        <w:t>,12</w:t>
      </w:r>
      <w:r w:rsidR="0009076B" w:rsidRPr="0009076B">
        <w:rPr>
          <w:lang w:val="fr-CA"/>
        </w:rPr>
        <w:t xml:space="preserve"> $ par quantité supplémentaire de 10 g ou fraction de cette quantité</w:t>
      </w:r>
    </w:p>
    <w:p w14:paraId="762E365B" w14:textId="46725654" w:rsidR="00B44EF5" w:rsidRPr="00FC28B7" w:rsidRDefault="00C85DD2" w:rsidP="00CE70F3">
      <w:pPr>
        <w:rPr>
          <w:rFonts w:eastAsia="Times New Roman" w:cs="Arial"/>
          <w:szCs w:val="24"/>
          <w:highlight w:val="yellow"/>
          <w:lang w:val="fr-CA" w:bidi="en-US"/>
        </w:rPr>
      </w:pPr>
      <w:r>
        <w:rPr>
          <w:highlight w:val="yellow"/>
          <w:lang w:val="fr-CA"/>
        </w:rPr>
        <w:t>61</w:t>
      </w:r>
      <w:r w:rsidR="00365CDF" w:rsidRPr="00365CDF">
        <w:rPr>
          <w:highlight w:val="yellow"/>
          <w:lang w:val="fr-CA"/>
        </w:rPr>
        <w:t xml:space="preserve">. </w:t>
      </w:r>
      <w:r w:rsidR="00B44EF5" w:rsidRPr="00FC28B7">
        <w:rPr>
          <w:highlight w:val="yellow"/>
          <w:lang w:val="fr-CA"/>
        </w:rPr>
        <w:t>À compter du 1er juillet 2024, le</w:t>
      </w:r>
      <w:r w:rsidR="001B3214">
        <w:rPr>
          <w:highlight w:val="yellow"/>
          <w:lang w:val="fr-CA"/>
        </w:rPr>
        <w:t>s</w:t>
      </w:r>
      <w:r w:rsidR="00B44EF5" w:rsidRPr="00FC28B7">
        <w:rPr>
          <w:highlight w:val="yellow"/>
          <w:lang w:val="fr-CA"/>
        </w:rPr>
        <w:t xml:space="preserve"> taux des </w:t>
      </w:r>
      <w:r w:rsidR="00B44EF5" w:rsidRPr="001B3214">
        <w:rPr>
          <w:highlight w:val="yellow"/>
          <w:lang w:val="fr-CA"/>
        </w:rPr>
        <w:t>droit</w:t>
      </w:r>
      <w:r w:rsidR="00CF0BCF" w:rsidRPr="001B3214">
        <w:rPr>
          <w:highlight w:val="yellow"/>
          <w:lang w:val="fr-CA"/>
        </w:rPr>
        <w:t>s</w:t>
      </w:r>
      <w:r w:rsidR="00B44EF5" w:rsidRPr="001B3214">
        <w:rPr>
          <w:highlight w:val="yellow"/>
          <w:lang w:val="fr-CA"/>
        </w:rPr>
        <w:t xml:space="preserve"> additionnel</w:t>
      </w:r>
      <w:r w:rsidR="00CF0BCF" w:rsidRPr="001B3214">
        <w:rPr>
          <w:highlight w:val="yellow"/>
          <w:lang w:val="fr-CA"/>
        </w:rPr>
        <w:t>s</w:t>
      </w:r>
      <w:r w:rsidR="00160360" w:rsidRPr="001B3214">
        <w:rPr>
          <w:highlight w:val="yellow"/>
          <w:lang w:val="fr-CA"/>
        </w:rPr>
        <w:t xml:space="preserve"> sur le vapotage</w:t>
      </w:r>
      <w:r w:rsidR="00B44EF5" w:rsidRPr="001B3214">
        <w:rPr>
          <w:highlight w:val="yellow"/>
          <w:lang w:val="fr-CA"/>
        </w:rPr>
        <w:t xml:space="preserve"> </w:t>
      </w:r>
      <w:r w:rsidR="00B44EF5" w:rsidRPr="00FC28B7">
        <w:rPr>
          <w:highlight w:val="yellow"/>
          <w:lang w:val="fr-CA"/>
        </w:rPr>
        <w:t xml:space="preserve">imposés en vertu de l'article 158.58 de la </w:t>
      </w:r>
      <w:r w:rsidR="00B44EF5" w:rsidRPr="00FC28B7">
        <w:rPr>
          <w:i/>
          <w:highlight w:val="yellow"/>
          <w:lang w:val="fr-CA"/>
        </w:rPr>
        <w:t>Loi de 2001 sur l'accise</w:t>
      </w:r>
      <w:r w:rsidR="00B44EF5" w:rsidRPr="00FC28B7">
        <w:rPr>
          <w:highlight w:val="yellow"/>
          <w:lang w:val="fr-CA"/>
        </w:rPr>
        <w:t xml:space="preserve"> à l'égard d'une province déterminée de vapotage sont égaux aux montants déterminés ci-dessus. </w:t>
      </w:r>
      <w:r w:rsidR="00B44EF5" w:rsidRPr="00CE70F3">
        <w:rPr>
          <w:highlight w:val="yellow"/>
          <w:lang w:val="fr-CA"/>
        </w:rPr>
        <w:t xml:space="preserve">Les </w:t>
      </w:r>
      <w:r w:rsidR="001F01C8" w:rsidRPr="00CE70F3">
        <w:rPr>
          <w:rFonts w:eastAsia="Times New Roman" w:cs="Arial"/>
          <w:szCs w:val="24"/>
          <w:highlight w:val="yellow"/>
          <w:lang w:val="fr-CA" w:bidi="en-US"/>
        </w:rPr>
        <w:t>Accords de coordination de la taxation des produits de Vapotage (ACTPVs)</w:t>
      </w:r>
      <w:r w:rsidR="00B44EF5" w:rsidRPr="00CE70F3">
        <w:rPr>
          <w:highlight w:val="yellow"/>
          <w:lang w:val="fr-CA"/>
        </w:rPr>
        <w:t xml:space="preserve"> stipulent que les assiettes </w:t>
      </w:r>
      <w:r w:rsidR="00B44EF5" w:rsidRPr="00FC28B7">
        <w:rPr>
          <w:highlight w:val="yellow"/>
          <w:lang w:val="fr-CA"/>
        </w:rPr>
        <w:t xml:space="preserve">fiscales du droit sur les produits de vapotage et du </w:t>
      </w:r>
      <w:r w:rsidR="00A07CA7" w:rsidRPr="00CE70F3">
        <w:rPr>
          <w:highlight w:val="yellow"/>
          <w:lang w:val="fr-CA"/>
        </w:rPr>
        <w:t xml:space="preserve">droit </w:t>
      </w:r>
      <w:r w:rsidR="00A07CA7" w:rsidRPr="00CE70F3">
        <w:rPr>
          <w:rFonts w:eastAsia="Times New Roman" w:cs="Arial"/>
          <w:szCs w:val="24"/>
          <w:highlight w:val="yellow"/>
          <w:lang w:val="fr-CA" w:bidi="en-US"/>
        </w:rPr>
        <w:t>additionnel</w:t>
      </w:r>
      <w:r w:rsidR="00A07CA7" w:rsidRPr="00CE70F3">
        <w:rPr>
          <w:highlight w:val="yellow"/>
          <w:lang w:val="fr-CA"/>
        </w:rPr>
        <w:t xml:space="preserve"> sur le vapotage</w:t>
      </w:r>
      <w:r w:rsidR="00B44EF5" w:rsidRPr="00D14570">
        <w:rPr>
          <w:highlight w:val="yellow"/>
          <w:lang w:val="fr-CA"/>
        </w:rPr>
        <w:t xml:space="preserve"> à l'égard d'une province déterminée doivent demeurer identiques.</w:t>
      </w:r>
    </w:p>
    <w:p w14:paraId="3C83B732" w14:textId="330E5B91" w:rsidR="0009076B" w:rsidRPr="00121B7A" w:rsidRDefault="00C85DD2" w:rsidP="0009076B">
      <w:pPr>
        <w:rPr>
          <w:lang w:val="fr-CA"/>
        </w:rPr>
      </w:pPr>
      <w:r>
        <w:rPr>
          <w:lang w:val="fr-CA"/>
        </w:rPr>
        <w:t>62</w:t>
      </w:r>
      <w:r w:rsidR="003D2FC4">
        <w:rPr>
          <w:lang w:val="fr-CA"/>
        </w:rPr>
        <w:t xml:space="preserve">. </w:t>
      </w:r>
      <w:r w:rsidR="0009076B" w:rsidRPr="0009076B">
        <w:rPr>
          <w:lang w:val="fr-CA"/>
        </w:rPr>
        <w:t xml:space="preserve">Le droit sur le vapotage </w:t>
      </w:r>
      <w:r w:rsidR="00365CDF">
        <w:rPr>
          <w:lang w:val="fr-CA"/>
        </w:rPr>
        <w:t xml:space="preserve">et le </w:t>
      </w:r>
      <w:r w:rsidR="00CF09AA" w:rsidRPr="00CE70F3">
        <w:rPr>
          <w:rFonts w:cs="Arial"/>
          <w:szCs w:val="24"/>
          <w:lang w:val="fr-CA"/>
        </w:rPr>
        <w:t xml:space="preserve">droit </w:t>
      </w:r>
      <w:r w:rsidR="00CF09AA" w:rsidRPr="00CE70F3">
        <w:rPr>
          <w:rFonts w:eastAsia="Times New Roman" w:cs="Arial"/>
          <w:szCs w:val="24"/>
          <w:lang w:val="fr-CA" w:bidi="en-US"/>
        </w:rPr>
        <w:t>additionnel</w:t>
      </w:r>
      <w:r w:rsidR="00CF09AA" w:rsidRPr="00CE70F3">
        <w:rPr>
          <w:rFonts w:cs="Arial"/>
          <w:szCs w:val="24"/>
          <w:lang w:val="fr-CA"/>
        </w:rPr>
        <w:t xml:space="preserve"> sur le vapotage</w:t>
      </w:r>
      <w:r w:rsidR="00CF09AA" w:rsidRPr="00D14570" w:rsidDel="00CF09AA">
        <w:rPr>
          <w:rFonts w:eastAsia="Times New Roman" w:cs="Arial"/>
          <w:szCs w:val="24"/>
          <w:lang w:val="fr-CA" w:bidi="en-US"/>
        </w:rPr>
        <w:t xml:space="preserve"> </w:t>
      </w:r>
      <w:r w:rsidR="00365CDF" w:rsidRPr="00CE70F3">
        <w:rPr>
          <w:lang w:val="fr-CA"/>
        </w:rPr>
        <w:t>sont calculés</w:t>
      </w:r>
      <w:r w:rsidR="00365CDF" w:rsidRPr="00121B7A">
        <w:rPr>
          <w:lang w:val="fr-CA"/>
        </w:rPr>
        <w:t xml:space="preserve"> </w:t>
      </w:r>
      <w:r w:rsidR="0009076B" w:rsidRPr="00121B7A">
        <w:rPr>
          <w:lang w:val="fr-CA"/>
        </w:rPr>
        <w:t>sur la quantité de matière de vapotage contenue dans chaque dispositif ou contenant immédiat et non sur la quantité totale contenue dans un ensemble.</w:t>
      </w:r>
      <w:r w:rsidR="00365CDF" w:rsidRPr="00121B7A">
        <w:rPr>
          <w:lang w:val="fr-CA"/>
        </w:rPr>
        <w:t xml:space="preserve"> </w:t>
      </w:r>
    </w:p>
    <w:p w14:paraId="2417D10F" w14:textId="0E234DDC" w:rsidR="0009076B" w:rsidRPr="00121B7A" w:rsidRDefault="00C85DD2" w:rsidP="0009076B">
      <w:pPr>
        <w:rPr>
          <w:lang w:val="fr-CA"/>
        </w:rPr>
      </w:pPr>
      <w:r w:rsidRPr="00121B7A">
        <w:rPr>
          <w:lang w:val="fr-CA"/>
        </w:rPr>
        <w:t>63</w:t>
      </w:r>
      <w:r w:rsidR="003D2FC4" w:rsidRPr="00121B7A">
        <w:rPr>
          <w:lang w:val="fr-CA"/>
        </w:rPr>
        <w:t xml:space="preserve">. </w:t>
      </w:r>
      <w:r w:rsidR="0009076B" w:rsidRPr="00121B7A">
        <w:rPr>
          <w:lang w:val="fr-CA"/>
        </w:rPr>
        <w:t xml:space="preserve">Pour plus de renseignements, consultez </w:t>
      </w:r>
      <w:r w:rsidR="0009076B" w:rsidRPr="00121B7A">
        <w:rPr>
          <w:i/>
          <w:lang w:val="fr-CA"/>
        </w:rPr>
        <w:t>l’avis sur les droits d’accise</w:t>
      </w:r>
      <w:r w:rsidR="0009076B" w:rsidRPr="00121B7A">
        <w:rPr>
          <w:lang w:val="fr-CA"/>
        </w:rPr>
        <w:t xml:space="preserve"> </w:t>
      </w:r>
      <w:r w:rsidR="0009076B" w:rsidRPr="00121B7A">
        <w:rPr>
          <w:i/>
          <w:lang w:val="fr-CA"/>
        </w:rPr>
        <w:t>EDN82, Calcul du droit sur le vapotage</w:t>
      </w:r>
      <w:r w:rsidR="0009076B" w:rsidRPr="00121B7A">
        <w:rPr>
          <w:lang w:val="fr-CA"/>
        </w:rPr>
        <w:t xml:space="preserve">, au lien  se trouvant dans la section </w:t>
      </w:r>
      <w:hyperlink w:anchor="Lienscommexes" w:history="1">
        <w:r w:rsidR="002B45D3" w:rsidRPr="00121B7A">
          <w:rPr>
            <w:rStyle w:val="Hyperlink"/>
            <w:color w:val="auto"/>
            <w:u w:val="none"/>
            <w:lang w:val="fr-CA"/>
          </w:rPr>
          <w:t>Liens connexes</w:t>
        </w:r>
      </w:hyperlink>
      <w:r w:rsidR="00115B0C" w:rsidRPr="00121B7A">
        <w:rPr>
          <w:lang w:val="fr-CA"/>
        </w:rPr>
        <w:t xml:space="preserve"> et la section </w:t>
      </w:r>
      <w:r w:rsidR="0009076B" w:rsidRPr="00121B7A">
        <w:rPr>
          <w:lang w:val="fr-CA"/>
        </w:rPr>
        <w:t>Exemples illustratifs de ce mémorandum.</w:t>
      </w:r>
    </w:p>
    <w:p w14:paraId="40BBE266" w14:textId="1120800C" w:rsidR="0009076B" w:rsidRPr="00121B7A" w:rsidRDefault="0009076B" w:rsidP="007D6D16">
      <w:pPr>
        <w:pStyle w:val="Heading3"/>
      </w:pPr>
      <w:bookmarkStart w:id="42" w:name="SH20"/>
      <w:r w:rsidRPr="00121B7A">
        <w:t>Valeur pour taxe</w:t>
      </w:r>
      <w:bookmarkEnd w:id="42"/>
      <w:r w:rsidR="00A02F11" w:rsidRPr="00121B7A">
        <w:t xml:space="preserve"> </w:t>
      </w:r>
    </w:p>
    <w:p w14:paraId="02E93481" w14:textId="2FC569DE" w:rsidR="0009076B" w:rsidRPr="0009076B" w:rsidRDefault="0031709E" w:rsidP="0009076B">
      <w:pPr>
        <w:rPr>
          <w:lang w:val="fr-CA"/>
        </w:rPr>
      </w:pPr>
      <w:r w:rsidRPr="00121B7A">
        <w:rPr>
          <w:lang w:val="fr-CA"/>
        </w:rPr>
        <w:t>64</w:t>
      </w:r>
      <w:r w:rsidR="003D2FC4" w:rsidRPr="00121B7A">
        <w:rPr>
          <w:lang w:val="fr-CA"/>
        </w:rPr>
        <w:t xml:space="preserve">. </w:t>
      </w:r>
      <w:r w:rsidR="0009076B" w:rsidRPr="00121B7A">
        <w:rPr>
          <w:lang w:val="fr-CA"/>
        </w:rPr>
        <w:t xml:space="preserve">La valeur pour taxe d’un produit de </w:t>
      </w:r>
      <w:r w:rsidR="00062D1F" w:rsidRPr="00121B7A">
        <w:rPr>
          <w:lang w:val="fr-CA"/>
        </w:rPr>
        <w:t xml:space="preserve">vapotage est dans la formule A </w:t>
      </w:r>
      <w:r w:rsidR="00062D1F" w:rsidRPr="00CE70F3">
        <w:rPr>
          <w:lang w:val="fr-CA"/>
        </w:rPr>
        <w:t>plus</w:t>
      </w:r>
      <w:r w:rsidR="0009076B" w:rsidRPr="00121B7A">
        <w:rPr>
          <w:lang w:val="fr-CA"/>
        </w:rPr>
        <w:t xml:space="preserve"> B</w:t>
      </w:r>
      <w:r w:rsidR="0009076B" w:rsidRPr="0009076B">
        <w:rPr>
          <w:lang w:val="fr-CA"/>
        </w:rPr>
        <w:t xml:space="preserve"> où:</w:t>
      </w:r>
    </w:p>
    <w:p w14:paraId="478FFD59" w14:textId="77777777" w:rsidR="0009076B" w:rsidRPr="0009076B" w:rsidRDefault="0009076B" w:rsidP="001361A9">
      <w:pPr>
        <w:ind w:left="284"/>
        <w:rPr>
          <w:lang w:val="fr-CA"/>
        </w:rPr>
      </w:pPr>
      <w:r w:rsidRPr="0009076B">
        <w:rPr>
          <w:lang w:val="fr-CA"/>
        </w:rPr>
        <w:t xml:space="preserve">A est la valeur du produit de vapotage comme il le serait déterminé sous les articles 48 à 53 de la </w:t>
      </w:r>
      <w:r w:rsidRPr="00874893">
        <w:rPr>
          <w:i/>
          <w:lang w:val="fr-CA"/>
        </w:rPr>
        <w:t>Loi sur les douanes</w:t>
      </w:r>
      <w:r w:rsidRPr="0009076B">
        <w:rPr>
          <w:lang w:val="fr-CA"/>
        </w:rPr>
        <w:t xml:space="preserve"> (c.-à-d. valeur en douane)</w:t>
      </w:r>
    </w:p>
    <w:p w14:paraId="79F719EB" w14:textId="3EA5B03A" w:rsidR="0009076B" w:rsidRPr="00121B7A" w:rsidRDefault="00062D1F" w:rsidP="001361A9">
      <w:pPr>
        <w:ind w:left="284"/>
        <w:rPr>
          <w:lang w:val="fr-CA"/>
        </w:rPr>
      </w:pPr>
      <w:r w:rsidRPr="00CE70F3">
        <w:rPr>
          <w:lang w:val="fr-CA"/>
        </w:rPr>
        <w:t>plus</w:t>
      </w:r>
    </w:p>
    <w:p w14:paraId="17AA545E" w14:textId="77777777" w:rsidR="0009076B" w:rsidRPr="00121B7A" w:rsidRDefault="0009076B" w:rsidP="001361A9">
      <w:pPr>
        <w:ind w:left="284"/>
        <w:rPr>
          <w:lang w:val="fr-CA"/>
        </w:rPr>
      </w:pPr>
      <w:r w:rsidRPr="00121B7A">
        <w:rPr>
          <w:lang w:val="fr-CA"/>
        </w:rPr>
        <w:t xml:space="preserve">B est tous droits et taxes exigibles reliés aux douanes (p.ex., en vertu du </w:t>
      </w:r>
      <w:r w:rsidRPr="00121B7A">
        <w:rPr>
          <w:i/>
          <w:lang w:val="fr-CA"/>
        </w:rPr>
        <w:t>Tarif des douanes</w:t>
      </w:r>
      <w:r w:rsidRPr="00121B7A">
        <w:rPr>
          <w:lang w:val="fr-CA"/>
        </w:rPr>
        <w:t xml:space="preserve">, la </w:t>
      </w:r>
      <w:r w:rsidRPr="00121B7A">
        <w:rPr>
          <w:i/>
          <w:lang w:val="fr-CA"/>
        </w:rPr>
        <w:t>Loi sur la taxe d’accise</w:t>
      </w:r>
      <w:r w:rsidRPr="00121B7A">
        <w:rPr>
          <w:lang w:val="fr-CA"/>
        </w:rPr>
        <w:t xml:space="preserve"> ou de la </w:t>
      </w:r>
      <w:r w:rsidRPr="00121B7A">
        <w:rPr>
          <w:i/>
          <w:lang w:val="fr-CA"/>
        </w:rPr>
        <w:t>Loi sur les mesures spéciales d’importation</w:t>
      </w:r>
      <w:r w:rsidRPr="00121B7A">
        <w:rPr>
          <w:lang w:val="fr-CA"/>
        </w:rPr>
        <w:t>, etc.), autres que la TPS/TVH et la taxe de vente provinciale.</w:t>
      </w:r>
    </w:p>
    <w:p w14:paraId="7C7367B2" w14:textId="08BD670B" w:rsidR="0009076B" w:rsidRPr="00121B7A" w:rsidRDefault="0009076B" w:rsidP="007D6D16">
      <w:pPr>
        <w:pStyle w:val="Heading3"/>
      </w:pPr>
      <w:bookmarkStart w:id="43" w:name="SH21"/>
      <w:r w:rsidRPr="00121B7A">
        <w:lastRenderedPageBreak/>
        <w:t>TPS/TVH et taxe de vente provinciale</w:t>
      </w:r>
      <w:bookmarkEnd w:id="43"/>
      <w:r w:rsidR="00A02F11" w:rsidRPr="00121B7A">
        <w:t xml:space="preserve"> </w:t>
      </w:r>
    </w:p>
    <w:p w14:paraId="725E17CA" w14:textId="1DFDB02D" w:rsidR="0009076B" w:rsidRPr="00121B7A" w:rsidRDefault="0031709E" w:rsidP="0009076B">
      <w:pPr>
        <w:rPr>
          <w:lang w:val="fr-CA"/>
        </w:rPr>
      </w:pPr>
      <w:r w:rsidRPr="00121B7A">
        <w:rPr>
          <w:lang w:val="fr-CA"/>
        </w:rPr>
        <w:t>65</w:t>
      </w:r>
      <w:r w:rsidR="001361A9" w:rsidRPr="00121B7A">
        <w:rPr>
          <w:lang w:val="fr-CA"/>
        </w:rPr>
        <w:t xml:space="preserve">. </w:t>
      </w:r>
      <w:r w:rsidR="0009076B" w:rsidRPr="00121B7A">
        <w:rPr>
          <w:lang w:val="fr-CA"/>
        </w:rPr>
        <w:t xml:space="preserve">La TPS/TVH est applicable à la valeur pour taxe du produit de vapotage (conformément aux règles énoncées dans la </w:t>
      </w:r>
      <w:r w:rsidR="0009076B" w:rsidRPr="00121B7A">
        <w:rPr>
          <w:i/>
          <w:lang w:val="fr-CA"/>
        </w:rPr>
        <w:t>Loi sur la taxe d’accise</w:t>
      </w:r>
      <w:r w:rsidR="0009076B" w:rsidRPr="00121B7A">
        <w:rPr>
          <w:lang w:val="fr-CA"/>
        </w:rPr>
        <w:t xml:space="preserve">) comme </w:t>
      </w:r>
      <w:r w:rsidR="00F6006C" w:rsidRPr="00121B7A">
        <w:rPr>
          <w:lang w:val="fr-CA"/>
        </w:rPr>
        <w:t>calculé ci</w:t>
      </w:r>
      <w:r w:rsidR="0009076B" w:rsidRPr="00121B7A">
        <w:rPr>
          <w:lang w:val="fr-CA"/>
        </w:rPr>
        <w:t>-dessus.</w:t>
      </w:r>
    </w:p>
    <w:p w14:paraId="4561C52D" w14:textId="2E29E804" w:rsidR="008912AB" w:rsidRPr="00121B7A" w:rsidRDefault="0031709E" w:rsidP="008912AB">
      <w:pPr>
        <w:rPr>
          <w:lang w:val="fr-CA"/>
        </w:rPr>
      </w:pPr>
      <w:r w:rsidRPr="00121B7A">
        <w:rPr>
          <w:lang w:val="fr-CA"/>
        </w:rPr>
        <w:t>66</w:t>
      </w:r>
      <w:r w:rsidR="001361A9" w:rsidRPr="00121B7A">
        <w:rPr>
          <w:lang w:val="fr-CA"/>
        </w:rPr>
        <w:t xml:space="preserve">. </w:t>
      </w:r>
      <w:r w:rsidR="0009076B" w:rsidRPr="00121B7A">
        <w:rPr>
          <w:lang w:val="fr-CA"/>
        </w:rPr>
        <w:t>Lorsqu’une taxe de vente provinciale est ap</w:t>
      </w:r>
      <w:r w:rsidR="008912AB" w:rsidRPr="00121B7A">
        <w:rPr>
          <w:lang w:val="fr-CA"/>
        </w:rPr>
        <w:t xml:space="preserve">plicable, elle s’applique </w:t>
      </w:r>
      <w:r w:rsidR="0009076B" w:rsidRPr="00121B7A">
        <w:rPr>
          <w:lang w:val="fr-CA"/>
        </w:rPr>
        <w:t xml:space="preserve">à la valeur pour taxe du produit de </w:t>
      </w:r>
      <w:r w:rsidR="008912AB" w:rsidRPr="00121B7A">
        <w:rPr>
          <w:lang w:val="fr-CA"/>
        </w:rPr>
        <w:t xml:space="preserve">Vapotage </w:t>
      </w:r>
      <w:r w:rsidR="008912AB" w:rsidRPr="00CE70F3">
        <w:rPr>
          <w:rFonts w:eastAsia="Times New Roman" w:cs="Arial"/>
          <w:szCs w:val="24"/>
          <w:lang w:val="fr-CA" w:bidi="en-US"/>
        </w:rPr>
        <w:t>et à la TPS applicable</w:t>
      </w:r>
      <w:r w:rsidR="0009076B" w:rsidRPr="00121B7A">
        <w:rPr>
          <w:lang w:val="fr-CA"/>
        </w:rPr>
        <w:t>.</w:t>
      </w:r>
      <w:r w:rsidR="00C35B1B" w:rsidRPr="00121B7A">
        <w:rPr>
          <w:lang w:val="fr-CA"/>
        </w:rPr>
        <w:t xml:space="preserve"> </w:t>
      </w:r>
    </w:p>
    <w:p w14:paraId="08179C64" w14:textId="2C551F03" w:rsidR="00C35B1B" w:rsidRPr="00121B7A" w:rsidRDefault="0031709E" w:rsidP="008912AB">
      <w:pPr>
        <w:rPr>
          <w:lang w:val="fr-CA"/>
        </w:rPr>
      </w:pPr>
      <w:r w:rsidRPr="00121B7A">
        <w:rPr>
          <w:lang w:val="fr-CA"/>
        </w:rPr>
        <w:t>67</w:t>
      </w:r>
      <w:r w:rsidR="008912AB" w:rsidRPr="00121B7A">
        <w:rPr>
          <w:lang w:val="fr-CA"/>
        </w:rPr>
        <w:t xml:space="preserve">. </w:t>
      </w:r>
      <w:r w:rsidR="00C35B1B" w:rsidRPr="00121B7A">
        <w:rPr>
          <w:lang w:val="fr-CA"/>
        </w:rPr>
        <w:t xml:space="preserve">Pour plus de renseignements; consultez le </w:t>
      </w:r>
      <w:r w:rsidR="00C35B1B" w:rsidRPr="00121B7A">
        <w:rPr>
          <w:i/>
          <w:lang w:val="fr-CA"/>
        </w:rPr>
        <w:t>Mémorandum D2-3-6, Programmes de perception des taxes provinciales sur les importations non commerciales et le Mémorandum D17-1-22, Déclaration en détail de la taxe de vente harmonisée, de la taxe de vente provinciale, de la taxe provinciale sur le tabac et de la majoration ou du droit sur l'alcool à l'égard des importations occasionnelles traitées par les filières du secteur commercial et des services de messagerie</w:t>
      </w:r>
      <w:r w:rsidR="00C35B1B" w:rsidRPr="00121B7A">
        <w:rPr>
          <w:lang w:val="fr-CA"/>
        </w:rPr>
        <w:t>, aux liens se trouvant dans la section Liens connexes de ce mémorandum</w:t>
      </w:r>
      <w:bookmarkStart w:id="44" w:name="SH22"/>
      <w:r w:rsidR="00BA25DD" w:rsidRPr="00121B7A">
        <w:rPr>
          <w:lang w:val="fr-CA"/>
        </w:rPr>
        <w:t>.</w:t>
      </w:r>
    </w:p>
    <w:bookmarkStart w:id="45" w:name="_Autres_droits_et"/>
    <w:bookmarkEnd w:id="45"/>
    <w:p w14:paraId="3047CF26" w14:textId="48DB8AB7" w:rsidR="005B364D" w:rsidRPr="00CE70F3" w:rsidRDefault="0058313D" w:rsidP="007D6D16">
      <w:pPr>
        <w:pStyle w:val="Heading3"/>
      </w:pPr>
      <w:r w:rsidRPr="00D14570">
        <w:fldChar w:fldCharType="begin"/>
      </w:r>
      <w:r w:rsidRPr="00D14570">
        <w:instrText xml:space="preserve"> HYPERLINK \l "SH18" </w:instrText>
      </w:r>
      <w:r w:rsidRPr="00CE70F3">
        <w:fldChar w:fldCharType="separate"/>
      </w:r>
      <w:r w:rsidR="005B364D" w:rsidRPr="00CE70F3">
        <w:t xml:space="preserve">Autres droits et taxes exigibles quand le droit sur le vapotage et le droit additionnel </w:t>
      </w:r>
      <w:r w:rsidR="002D5AD3" w:rsidRPr="00D14570">
        <w:t xml:space="preserve">sur le vapotage </w:t>
      </w:r>
      <w:r w:rsidR="005B364D" w:rsidRPr="00CE70F3">
        <w:t>sont non exigibles</w:t>
      </w:r>
      <w:r w:rsidRPr="00CE70F3">
        <w:fldChar w:fldCharType="end"/>
      </w:r>
      <w:r w:rsidR="005B364D" w:rsidRPr="00CE70F3">
        <w:t xml:space="preserve"> </w:t>
      </w:r>
    </w:p>
    <w:p w14:paraId="0F11AD9C" w14:textId="2846C42D" w:rsidR="005B364D" w:rsidRPr="004B53EB" w:rsidRDefault="0031709E" w:rsidP="00CE70F3">
      <w:pPr>
        <w:widowControl w:val="0"/>
        <w:tabs>
          <w:tab w:val="left" w:pos="674"/>
        </w:tabs>
        <w:autoSpaceDE w:val="0"/>
        <w:autoSpaceDN w:val="0"/>
        <w:ind w:right="1327"/>
        <w:rPr>
          <w:rFonts w:eastAsia="Times New Roman" w:cs="Arial"/>
          <w:spacing w:val="-17"/>
          <w:szCs w:val="24"/>
          <w:lang w:val="fr-CA" w:bidi="en-US"/>
        </w:rPr>
      </w:pPr>
      <w:r w:rsidRPr="00D14570">
        <w:rPr>
          <w:rFonts w:eastAsia="Times New Roman" w:cs="Arial"/>
          <w:spacing w:val="-17"/>
          <w:szCs w:val="24"/>
          <w:lang w:val="fr-CA" w:bidi="en-US"/>
        </w:rPr>
        <w:t>68</w:t>
      </w:r>
      <w:r w:rsidR="005B364D" w:rsidRPr="00D14570">
        <w:rPr>
          <w:rFonts w:eastAsia="Times New Roman" w:cs="Arial"/>
          <w:spacing w:val="-17"/>
          <w:szCs w:val="24"/>
          <w:lang w:val="fr-CA" w:bidi="en-US"/>
        </w:rPr>
        <w:t xml:space="preserve">. Tous les droits et taxes applicables liés aux douanes (par exemple en vertu du </w:t>
      </w:r>
      <w:r w:rsidR="005B364D" w:rsidRPr="00D14570">
        <w:rPr>
          <w:rFonts w:eastAsia="Times New Roman" w:cs="Arial"/>
          <w:i/>
          <w:spacing w:val="-17"/>
          <w:szCs w:val="24"/>
          <w:lang w:val="fr-CA" w:bidi="en-US"/>
        </w:rPr>
        <w:t>Tarif des douanes</w:t>
      </w:r>
      <w:r w:rsidR="005B364D" w:rsidRPr="00D14570">
        <w:rPr>
          <w:rFonts w:eastAsia="Times New Roman" w:cs="Arial"/>
          <w:spacing w:val="-17"/>
          <w:szCs w:val="24"/>
          <w:lang w:val="fr-CA" w:bidi="en-US"/>
        </w:rPr>
        <w:t xml:space="preserve">, de la </w:t>
      </w:r>
      <w:r w:rsidR="005B364D" w:rsidRPr="00D14570">
        <w:rPr>
          <w:rFonts w:eastAsia="Times New Roman" w:cs="Arial"/>
          <w:i/>
          <w:spacing w:val="-17"/>
          <w:szCs w:val="24"/>
          <w:lang w:val="fr-CA" w:bidi="en-US"/>
        </w:rPr>
        <w:t>Loi sur la taxe d'accise</w:t>
      </w:r>
      <w:r w:rsidR="005B364D" w:rsidRPr="00D14570">
        <w:rPr>
          <w:rFonts w:eastAsia="Times New Roman" w:cs="Arial"/>
          <w:spacing w:val="-17"/>
          <w:szCs w:val="24"/>
          <w:lang w:val="fr-CA" w:bidi="en-US"/>
        </w:rPr>
        <w:t xml:space="preserve">, de la </w:t>
      </w:r>
      <w:r w:rsidR="005B364D" w:rsidRPr="00D14570">
        <w:rPr>
          <w:rFonts w:eastAsia="Times New Roman" w:cs="Arial"/>
          <w:i/>
          <w:spacing w:val="-17"/>
          <w:szCs w:val="24"/>
          <w:lang w:val="fr-CA" w:bidi="en-US"/>
        </w:rPr>
        <w:t>Loi sur l'accise de 2001</w:t>
      </w:r>
      <w:r w:rsidR="005B364D" w:rsidRPr="00D14570">
        <w:rPr>
          <w:rFonts w:eastAsia="Times New Roman" w:cs="Arial"/>
          <w:spacing w:val="-17"/>
          <w:szCs w:val="24"/>
          <w:lang w:val="fr-CA" w:bidi="en-US"/>
        </w:rPr>
        <w:t xml:space="preserve"> ou de la </w:t>
      </w:r>
      <w:r w:rsidR="005B364D" w:rsidRPr="00D14570">
        <w:rPr>
          <w:rFonts w:eastAsia="Times New Roman" w:cs="Arial"/>
          <w:i/>
          <w:spacing w:val="-17"/>
          <w:szCs w:val="24"/>
          <w:lang w:val="fr-CA" w:bidi="en-US"/>
        </w:rPr>
        <w:t>Loi sur les mesures spéciales d'importation</w:t>
      </w:r>
      <w:r w:rsidR="005B364D" w:rsidRPr="00D14570">
        <w:rPr>
          <w:rFonts w:eastAsia="Times New Roman" w:cs="Arial"/>
          <w:spacing w:val="-17"/>
          <w:szCs w:val="24"/>
          <w:lang w:val="fr-CA" w:bidi="en-US"/>
        </w:rPr>
        <w:t xml:space="preserve">, etc.), y compris la TPS/TVH et la taxe de vente provinciale (si applicable), sont payables à l’égard de l’importation d’un produit de vapotage </w:t>
      </w:r>
      <w:r w:rsidR="005B364D" w:rsidRPr="00CE70F3">
        <w:rPr>
          <w:rFonts w:eastAsia="Times New Roman" w:cs="Arial"/>
          <w:spacing w:val="-17"/>
          <w:szCs w:val="24"/>
          <w:lang w:val="fr-CA" w:bidi="en-US"/>
        </w:rPr>
        <w:t xml:space="preserve">même lorsque le droit </w:t>
      </w:r>
      <w:r w:rsidR="00714990" w:rsidRPr="00CE70F3">
        <w:rPr>
          <w:rFonts w:eastAsia="Times New Roman" w:cs="Arial"/>
          <w:spacing w:val="-17"/>
          <w:szCs w:val="24"/>
          <w:lang w:val="fr-CA" w:bidi="en-US"/>
        </w:rPr>
        <w:t xml:space="preserve">sur le </w:t>
      </w:r>
      <w:r w:rsidR="005B364D" w:rsidRPr="00CE70F3">
        <w:rPr>
          <w:rFonts w:eastAsia="Times New Roman" w:cs="Arial"/>
          <w:spacing w:val="-17"/>
          <w:szCs w:val="24"/>
          <w:lang w:val="fr-CA" w:bidi="en-US"/>
        </w:rPr>
        <w:t xml:space="preserve">vapotage et le </w:t>
      </w:r>
      <w:r w:rsidR="002D1FE4" w:rsidRPr="00CE70F3">
        <w:rPr>
          <w:rFonts w:cs="Arial"/>
          <w:szCs w:val="24"/>
          <w:lang w:val="fr-CA"/>
        </w:rPr>
        <w:t xml:space="preserve">droit </w:t>
      </w:r>
      <w:r w:rsidR="002D1FE4" w:rsidRPr="00CE70F3">
        <w:rPr>
          <w:rFonts w:eastAsia="Times New Roman" w:cs="Arial"/>
          <w:szCs w:val="24"/>
          <w:lang w:val="fr-CA" w:bidi="en-US"/>
        </w:rPr>
        <w:t>additionnel</w:t>
      </w:r>
      <w:r w:rsidR="002D1FE4" w:rsidRPr="00CE70F3">
        <w:rPr>
          <w:rFonts w:cs="Arial"/>
          <w:szCs w:val="24"/>
          <w:lang w:val="fr-CA"/>
        </w:rPr>
        <w:t xml:space="preserve"> sur le vapotage</w:t>
      </w:r>
      <w:r w:rsidR="002D1FE4" w:rsidRPr="00D14570" w:rsidDel="002D1FE4">
        <w:rPr>
          <w:rFonts w:eastAsia="Times New Roman" w:cs="Arial"/>
          <w:spacing w:val="-17"/>
          <w:szCs w:val="24"/>
          <w:lang w:val="fr-CA" w:bidi="en-US"/>
        </w:rPr>
        <w:t xml:space="preserve"> </w:t>
      </w:r>
      <w:r w:rsidR="005B364D" w:rsidRPr="00CE70F3">
        <w:rPr>
          <w:rFonts w:eastAsia="Times New Roman" w:cs="Arial"/>
          <w:spacing w:val="-17"/>
          <w:szCs w:val="24"/>
          <w:lang w:val="fr-CA" w:bidi="en-US"/>
        </w:rPr>
        <w:t>ne sont pas exigibles.</w:t>
      </w:r>
    </w:p>
    <w:p w14:paraId="4FB5861A" w14:textId="1F97CCD5" w:rsidR="0009076B" w:rsidRPr="008912AB" w:rsidRDefault="0009076B" w:rsidP="007D6D16">
      <w:pPr>
        <w:pStyle w:val="Heading3"/>
      </w:pPr>
      <w:bookmarkStart w:id="46" w:name="_Exemples_illustratifs"/>
      <w:bookmarkEnd w:id="46"/>
      <w:r w:rsidRPr="008912AB">
        <w:t>Exemples illustratifs</w:t>
      </w:r>
      <w:bookmarkEnd w:id="44"/>
      <w:r w:rsidR="009B2B81" w:rsidRPr="008912AB">
        <w:t xml:space="preserve"> </w:t>
      </w:r>
    </w:p>
    <w:p w14:paraId="01E68664" w14:textId="55DFF3DF" w:rsidR="0009076B" w:rsidRPr="0009076B" w:rsidRDefault="001361A9" w:rsidP="0009076B">
      <w:pPr>
        <w:rPr>
          <w:lang w:val="fr-CA"/>
        </w:rPr>
      </w:pPr>
      <w:r w:rsidRPr="00F3380A">
        <w:rPr>
          <w:lang w:val="fr-CA"/>
        </w:rPr>
        <w:t>6</w:t>
      </w:r>
      <w:r w:rsidR="0031709E">
        <w:rPr>
          <w:lang w:val="fr-CA"/>
        </w:rPr>
        <w:t>9</w:t>
      </w:r>
      <w:r w:rsidRPr="00F3380A">
        <w:rPr>
          <w:lang w:val="fr-CA"/>
        </w:rPr>
        <w:t xml:space="preserve">. </w:t>
      </w:r>
      <w:r w:rsidR="0009076B" w:rsidRPr="00F3380A">
        <w:rPr>
          <w:lang w:val="fr-CA"/>
        </w:rPr>
        <w:t xml:space="preserve">Pour des exemples sur le calcul du droit sur le vapotage et des autres droits et taxes, consultez </w:t>
      </w:r>
      <w:r w:rsidR="0009076B" w:rsidRPr="000C5908">
        <w:rPr>
          <w:lang w:val="fr-CA"/>
        </w:rPr>
        <w:t xml:space="preserve">l’Annexe </w:t>
      </w:r>
      <w:r w:rsidR="00854140" w:rsidRPr="000C5908">
        <w:rPr>
          <w:lang w:val="fr-CA"/>
        </w:rPr>
        <w:t xml:space="preserve">B </w:t>
      </w:r>
      <w:r w:rsidR="0009076B" w:rsidRPr="000C5908">
        <w:rPr>
          <w:lang w:val="fr-CA"/>
        </w:rPr>
        <w:t>de</w:t>
      </w:r>
      <w:r w:rsidR="0009076B" w:rsidRPr="00F3380A">
        <w:rPr>
          <w:lang w:val="fr-CA"/>
        </w:rPr>
        <w:t xml:space="preserve"> ce mémorandum</w:t>
      </w:r>
      <w:r w:rsidR="0009076B" w:rsidRPr="0009076B">
        <w:rPr>
          <w:lang w:val="fr-CA"/>
        </w:rPr>
        <w:t>.</w:t>
      </w:r>
    </w:p>
    <w:p w14:paraId="03BE4FDF" w14:textId="6D75D88D" w:rsidR="0009076B" w:rsidRPr="00447EBA" w:rsidRDefault="0009076B" w:rsidP="007D6D16">
      <w:pPr>
        <w:pStyle w:val="Heading3"/>
      </w:pPr>
      <w:bookmarkStart w:id="47" w:name="SH23"/>
      <w:r w:rsidRPr="00447EBA">
        <w:t>Numéros de classement tarifaire</w:t>
      </w:r>
      <w:bookmarkEnd w:id="47"/>
      <w:r w:rsidR="009B2B81">
        <w:t xml:space="preserve"> </w:t>
      </w:r>
    </w:p>
    <w:p w14:paraId="370AD191" w14:textId="2D05EFB2" w:rsidR="0009076B" w:rsidRPr="0009076B" w:rsidRDefault="0031709E" w:rsidP="0009076B">
      <w:pPr>
        <w:rPr>
          <w:lang w:val="fr-CA"/>
        </w:rPr>
      </w:pPr>
      <w:r>
        <w:rPr>
          <w:lang w:val="fr-CA"/>
        </w:rPr>
        <w:t>70</w:t>
      </w:r>
      <w:r w:rsidR="001361A9">
        <w:rPr>
          <w:lang w:val="fr-CA"/>
        </w:rPr>
        <w:t>.</w:t>
      </w:r>
      <w:r w:rsidR="00B00364">
        <w:rPr>
          <w:lang w:val="fr-CA"/>
        </w:rPr>
        <w:t xml:space="preserve"> </w:t>
      </w:r>
      <w:r w:rsidR="0009076B" w:rsidRPr="0009076B">
        <w:rPr>
          <w:lang w:val="fr-CA"/>
        </w:rPr>
        <w:t xml:space="preserve">Une liste de marchandises qui peuvent être visées par le cadre de droits d’accise sur les produits de vapotage au moment de l’émission de ce mémorandum, accompagnées de leurs numéros de classement tarifaire respectifs, se trouve </w:t>
      </w:r>
      <w:r w:rsidR="0009076B" w:rsidRPr="00F3380A">
        <w:rPr>
          <w:lang w:val="fr-CA"/>
        </w:rPr>
        <w:t xml:space="preserve">à l’Annexe </w:t>
      </w:r>
      <w:r w:rsidR="00854140">
        <w:rPr>
          <w:lang w:val="fr-CA"/>
        </w:rPr>
        <w:t>A</w:t>
      </w:r>
      <w:r w:rsidR="00854140" w:rsidRPr="00F3380A">
        <w:rPr>
          <w:lang w:val="fr-CA"/>
        </w:rPr>
        <w:t xml:space="preserve"> </w:t>
      </w:r>
      <w:r w:rsidR="0009076B" w:rsidRPr="00F3380A">
        <w:rPr>
          <w:lang w:val="fr-CA"/>
        </w:rPr>
        <w:t>de</w:t>
      </w:r>
      <w:r w:rsidR="0009076B" w:rsidRPr="0009076B">
        <w:rPr>
          <w:lang w:val="fr-CA"/>
        </w:rPr>
        <w:t xml:space="preserve"> ce mémorandum.</w:t>
      </w:r>
    </w:p>
    <w:p w14:paraId="351670F3" w14:textId="2D9EE2E8" w:rsidR="0009076B" w:rsidRPr="00447EBA" w:rsidRDefault="0009076B" w:rsidP="007D6D16">
      <w:pPr>
        <w:pStyle w:val="Heading3"/>
      </w:pPr>
      <w:bookmarkStart w:id="48" w:name="SH24"/>
      <w:r w:rsidRPr="00447EBA">
        <w:t>Décisions</w:t>
      </w:r>
      <w:bookmarkEnd w:id="48"/>
      <w:r w:rsidR="00EC7895">
        <w:t xml:space="preserve"> </w:t>
      </w:r>
    </w:p>
    <w:p w14:paraId="38F7D732" w14:textId="54EC1461" w:rsidR="0009076B" w:rsidRPr="0009076B" w:rsidRDefault="008F7BC7" w:rsidP="0009076B">
      <w:pPr>
        <w:rPr>
          <w:lang w:val="fr-CA"/>
        </w:rPr>
      </w:pPr>
      <w:r>
        <w:rPr>
          <w:lang w:val="fr-CA"/>
        </w:rPr>
        <w:t>71</w:t>
      </w:r>
      <w:r w:rsidR="001361A9">
        <w:rPr>
          <w:lang w:val="fr-CA"/>
        </w:rPr>
        <w:t>.</w:t>
      </w:r>
      <w:r w:rsidR="00B00364">
        <w:rPr>
          <w:lang w:val="fr-CA"/>
        </w:rPr>
        <w:t xml:space="preserve"> </w:t>
      </w:r>
      <w:r w:rsidR="0009076B" w:rsidRPr="0009076B">
        <w:rPr>
          <w:lang w:val="fr-CA"/>
        </w:rPr>
        <w:t xml:space="preserve">L’ASFC recommande que les importateurs soumettent une demande de décision s’ils ont des doutes quant à l’origine, au classement tarifaire ou à la valeur en douane des marchandises. Les procédures sur comment obtenir une décision se trouvent dans le </w:t>
      </w:r>
      <w:r w:rsidR="00006AC0" w:rsidRPr="00E71732">
        <w:rPr>
          <w:i/>
          <w:lang w:val="fr-CA"/>
        </w:rPr>
        <w:t>M</w:t>
      </w:r>
      <w:r w:rsidR="0009076B" w:rsidRPr="00E71732">
        <w:rPr>
          <w:i/>
          <w:lang w:val="fr-CA"/>
        </w:rPr>
        <w:t xml:space="preserve">émorandum D11-11-1, Décisions nationales des douanes, </w:t>
      </w:r>
      <w:r w:rsidR="004F6450" w:rsidRPr="00C50D39">
        <w:rPr>
          <w:i/>
          <w:lang w:val="fr-CA"/>
        </w:rPr>
        <w:t>Mémorandum</w:t>
      </w:r>
      <w:r w:rsidR="004F6450" w:rsidRPr="00006AC0">
        <w:rPr>
          <w:i/>
          <w:lang w:val="fr-CA"/>
        </w:rPr>
        <w:t xml:space="preserve"> </w:t>
      </w:r>
      <w:r w:rsidR="0009076B" w:rsidRPr="00E71732">
        <w:rPr>
          <w:i/>
          <w:lang w:val="fr-CA"/>
        </w:rPr>
        <w:t>D11-11-3, Décisions anticipées en matière de classement tarifaire</w:t>
      </w:r>
      <w:r w:rsidR="0009076B" w:rsidRPr="0009076B">
        <w:rPr>
          <w:lang w:val="fr-CA"/>
        </w:rPr>
        <w:t xml:space="preserve">, et </w:t>
      </w:r>
      <w:r w:rsidR="004F6450" w:rsidRPr="00C50D39">
        <w:rPr>
          <w:i/>
          <w:lang w:val="fr-CA"/>
        </w:rPr>
        <w:t>Mémorandum</w:t>
      </w:r>
      <w:r w:rsidR="004F6450" w:rsidRPr="00006AC0">
        <w:rPr>
          <w:i/>
          <w:lang w:val="fr-CA"/>
        </w:rPr>
        <w:t xml:space="preserve"> </w:t>
      </w:r>
      <w:r w:rsidR="0009076B" w:rsidRPr="00E71732">
        <w:rPr>
          <w:i/>
          <w:lang w:val="fr-CA"/>
        </w:rPr>
        <w:t>D11-4-16, Décisions anticipées en matière d’origine découlant d’accords de libre-échange</w:t>
      </w:r>
      <w:r w:rsidR="0009076B" w:rsidRPr="0009076B">
        <w:rPr>
          <w:lang w:val="fr-CA"/>
        </w:rPr>
        <w:t xml:space="preserve">, aux liens se trouvant dans la section </w:t>
      </w:r>
      <w:hyperlink w:anchor="Lienscommexes" w:history="1">
        <w:r w:rsidR="002B45D3" w:rsidRPr="00E71732">
          <w:rPr>
            <w:rStyle w:val="Hyperlink"/>
            <w:color w:val="auto"/>
            <w:u w:val="none"/>
            <w:lang w:val="fr-CA"/>
          </w:rPr>
          <w:t>Liens connexes</w:t>
        </w:r>
      </w:hyperlink>
      <w:r w:rsidR="0009076B" w:rsidRPr="00006AC0">
        <w:rPr>
          <w:lang w:val="fr-CA"/>
        </w:rPr>
        <w:t xml:space="preserve"> </w:t>
      </w:r>
      <w:r w:rsidR="0009076B" w:rsidRPr="0009076B">
        <w:rPr>
          <w:lang w:val="fr-CA"/>
        </w:rPr>
        <w:t>de ce mémorandum.</w:t>
      </w:r>
      <w:r w:rsidR="00430201">
        <w:rPr>
          <w:lang w:val="fr-CA"/>
        </w:rPr>
        <w:t xml:space="preserve"> </w:t>
      </w:r>
    </w:p>
    <w:p w14:paraId="1707667E" w14:textId="4F1351AE" w:rsidR="0009076B" w:rsidRPr="00447EBA" w:rsidRDefault="0009076B" w:rsidP="007D6D16">
      <w:pPr>
        <w:pStyle w:val="Heading3"/>
      </w:pPr>
      <w:bookmarkStart w:id="49" w:name="Declaration"/>
      <w:bookmarkStart w:id="50" w:name="SH25"/>
      <w:r w:rsidRPr="00447EBA">
        <w:t xml:space="preserve">Déclaration et déclaration en détail </w:t>
      </w:r>
      <w:bookmarkEnd w:id="49"/>
      <w:r w:rsidRPr="00447EBA">
        <w:t>des produits de vapotage</w:t>
      </w:r>
      <w:bookmarkEnd w:id="50"/>
      <w:r w:rsidR="00EC7895">
        <w:t xml:space="preserve"> </w:t>
      </w:r>
    </w:p>
    <w:p w14:paraId="11F3B4A3" w14:textId="43E620CF" w:rsidR="0009076B" w:rsidRPr="00CE70F3" w:rsidRDefault="0009076B" w:rsidP="00CE70F3">
      <w:pPr>
        <w:rPr>
          <w:b/>
          <w:lang w:val="fr-CA"/>
        </w:rPr>
      </w:pPr>
      <w:bookmarkStart w:id="51" w:name="SSH10"/>
      <w:r w:rsidRPr="00CE70F3">
        <w:rPr>
          <w:b/>
          <w:lang w:val="fr-CA"/>
        </w:rPr>
        <w:t>Programme des messageries d’expéditions de faible valeur (EFV)</w:t>
      </w:r>
      <w:bookmarkEnd w:id="51"/>
    </w:p>
    <w:p w14:paraId="4D6581EB" w14:textId="441678B2" w:rsidR="0009076B" w:rsidRPr="0009076B" w:rsidRDefault="008F7BC7" w:rsidP="0009076B">
      <w:pPr>
        <w:rPr>
          <w:lang w:val="fr-CA"/>
        </w:rPr>
      </w:pPr>
      <w:r>
        <w:rPr>
          <w:lang w:val="fr-CA"/>
        </w:rPr>
        <w:t>72</w:t>
      </w:r>
      <w:r w:rsidR="009A779B">
        <w:rPr>
          <w:lang w:val="fr-CA"/>
        </w:rPr>
        <w:t xml:space="preserve">. </w:t>
      </w:r>
      <w:r w:rsidR="0009076B" w:rsidRPr="0009076B">
        <w:rPr>
          <w:lang w:val="fr-CA"/>
        </w:rPr>
        <w:t xml:space="preserve">Les produits de vapotage sont contrôlés en vertu de la </w:t>
      </w:r>
      <w:r w:rsidR="0009076B" w:rsidRPr="008B1E58">
        <w:rPr>
          <w:i/>
          <w:lang w:val="fr-CA"/>
        </w:rPr>
        <w:t>Loi sur le tabac et les produits de vapotage</w:t>
      </w:r>
      <w:r w:rsidR="0009076B" w:rsidRPr="0009076B">
        <w:rPr>
          <w:lang w:val="fr-CA"/>
        </w:rPr>
        <w:t xml:space="preserve">, la </w:t>
      </w:r>
      <w:r w:rsidR="0009076B" w:rsidRPr="008B1E58">
        <w:rPr>
          <w:i/>
          <w:lang w:val="fr-CA"/>
        </w:rPr>
        <w:t>Loi canadienne sur la sécurité des produits de consommation</w:t>
      </w:r>
      <w:r w:rsidR="0009076B" w:rsidRPr="0009076B">
        <w:rPr>
          <w:lang w:val="fr-CA"/>
        </w:rPr>
        <w:t xml:space="preserve">, la </w:t>
      </w:r>
      <w:r w:rsidR="0009076B" w:rsidRPr="008B1E58">
        <w:rPr>
          <w:i/>
          <w:lang w:val="fr-CA"/>
        </w:rPr>
        <w:t xml:space="preserve">Loi sur les aliments et drogues </w:t>
      </w:r>
      <w:r w:rsidR="0009076B" w:rsidRPr="0009076B">
        <w:rPr>
          <w:lang w:val="fr-CA"/>
        </w:rPr>
        <w:t xml:space="preserve">et, par conséquent, sont exclus du programme EFV. Pour plus de renseignements, consultez le </w:t>
      </w:r>
      <w:r w:rsidR="0009076B" w:rsidRPr="00E71732">
        <w:rPr>
          <w:i/>
          <w:lang w:val="fr-CA"/>
        </w:rPr>
        <w:t>Mémorandum D17-4-0, Programme des messageries d’expéditions de faible valeur</w:t>
      </w:r>
      <w:r w:rsidR="0009076B" w:rsidRPr="0009076B">
        <w:rPr>
          <w:lang w:val="fr-CA"/>
        </w:rPr>
        <w:t xml:space="preserve">, au lien se trouvant dans la section </w:t>
      </w:r>
      <w:hyperlink w:anchor="Lienscommexes" w:history="1">
        <w:r w:rsidR="002B45D3" w:rsidRPr="00E71732">
          <w:rPr>
            <w:rStyle w:val="Hyperlink"/>
            <w:color w:val="auto"/>
            <w:u w:val="none"/>
            <w:lang w:val="fr-CA"/>
          </w:rPr>
          <w:t>Liens connexes</w:t>
        </w:r>
      </w:hyperlink>
      <w:r w:rsidR="0009076B" w:rsidRPr="00430201">
        <w:rPr>
          <w:lang w:val="fr-CA"/>
        </w:rPr>
        <w:t xml:space="preserve"> </w:t>
      </w:r>
      <w:r w:rsidR="0009076B" w:rsidRPr="0009076B">
        <w:rPr>
          <w:lang w:val="fr-CA"/>
        </w:rPr>
        <w:t>de ce mémorandum.</w:t>
      </w:r>
    </w:p>
    <w:p w14:paraId="4A35F0C2" w14:textId="77777777" w:rsidR="0009076B" w:rsidRPr="00CE70F3" w:rsidRDefault="0009076B" w:rsidP="00CE70F3">
      <w:pPr>
        <w:rPr>
          <w:b/>
          <w:lang w:val="fr-CA"/>
        </w:rPr>
      </w:pPr>
      <w:bookmarkStart w:id="52" w:name="SSH11"/>
      <w:r w:rsidRPr="00CE70F3">
        <w:rPr>
          <w:b/>
          <w:lang w:val="fr-CA"/>
        </w:rPr>
        <w:t>Filière postale</w:t>
      </w:r>
      <w:bookmarkEnd w:id="52"/>
    </w:p>
    <w:p w14:paraId="12621AE5" w14:textId="0477668C" w:rsidR="0009076B" w:rsidRPr="0009076B" w:rsidRDefault="008F7BC7" w:rsidP="0009076B">
      <w:pPr>
        <w:rPr>
          <w:lang w:val="fr-CA"/>
        </w:rPr>
      </w:pPr>
      <w:r>
        <w:rPr>
          <w:lang w:val="fr-CA"/>
        </w:rPr>
        <w:t>73</w:t>
      </w:r>
      <w:r w:rsidR="009A779B">
        <w:rPr>
          <w:lang w:val="fr-CA"/>
        </w:rPr>
        <w:t xml:space="preserve">. </w:t>
      </w:r>
      <w:r w:rsidR="0009076B" w:rsidRPr="0009076B">
        <w:rPr>
          <w:lang w:val="fr-CA"/>
        </w:rPr>
        <w:t xml:space="preserve">Les produits de vapotage qui sont des marchandises commerciales ou des marchandises occasionnelles sont éligibles à l’importation par la filière postale. Pour plus de renseignements, consultez le </w:t>
      </w:r>
      <w:r w:rsidR="0009076B" w:rsidRPr="00E71732">
        <w:rPr>
          <w:i/>
          <w:lang w:val="fr-CA"/>
        </w:rPr>
        <w:t>Mémorandum D5-1-1, Traitement du courrier international</w:t>
      </w:r>
      <w:r w:rsidR="0009076B" w:rsidRPr="0009076B">
        <w:rPr>
          <w:lang w:val="fr-CA"/>
        </w:rPr>
        <w:t>, au li</w:t>
      </w:r>
      <w:r w:rsidR="00003064">
        <w:rPr>
          <w:lang w:val="fr-CA"/>
        </w:rPr>
        <w:t xml:space="preserve">en se trouvant dans la section </w:t>
      </w:r>
      <w:r w:rsidR="0009076B" w:rsidRPr="0009076B">
        <w:rPr>
          <w:lang w:val="fr-CA"/>
        </w:rPr>
        <w:t>de ce mémorandum.</w:t>
      </w:r>
    </w:p>
    <w:p w14:paraId="58AE838E" w14:textId="77777777" w:rsidR="0009076B" w:rsidRPr="00CE70F3" w:rsidRDefault="0009076B" w:rsidP="00CE70F3">
      <w:pPr>
        <w:rPr>
          <w:b/>
          <w:lang w:val="fr-CA"/>
        </w:rPr>
      </w:pPr>
      <w:bookmarkStart w:id="53" w:name="SSH12"/>
      <w:r w:rsidRPr="00CE70F3">
        <w:rPr>
          <w:b/>
          <w:lang w:val="fr-CA"/>
        </w:rPr>
        <w:t>Marchandises occasionnelles (non commerciales)</w:t>
      </w:r>
      <w:bookmarkEnd w:id="53"/>
    </w:p>
    <w:p w14:paraId="39F9B98D" w14:textId="12B8E9E3" w:rsidR="0009076B" w:rsidRPr="0009076B" w:rsidRDefault="0080427E" w:rsidP="0009076B">
      <w:pPr>
        <w:rPr>
          <w:lang w:val="fr-CA"/>
        </w:rPr>
      </w:pPr>
      <w:r>
        <w:rPr>
          <w:lang w:val="fr-CA"/>
        </w:rPr>
        <w:t>74</w:t>
      </w:r>
      <w:r w:rsidR="009A779B">
        <w:rPr>
          <w:lang w:val="fr-CA"/>
        </w:rPr>
        <w:t xml:space="preserve">. </w:t>
      </w:r>
      <w:r w:rsidR="0009076B" w:rsidRPr="0009076B">
        <w:rPr>
          <w:lang w:val="fr-CA"/>
        </w:rPr>
        <w:t xml:space="preserve">La déclaration en détail de produits de vapotage qui sont des marchandises occasionnelles, se fait de la même façon que toute autre marchandise occasionnelle. Les marchandises occasionnelles sont, aux fins du présent mémorandum, 5 unités ou moins de produits de vapotage importés au Canada pour usage personnel. Les importateurs doivent être prêt à remettre à l’agent, sur demande, toute documentation pertinente, comme ce serait le cas pour tout autre marchandise. Les agents vont déterminer si le droit sur le </w:t>
      </w:r>
      <w:r w:rsidR="0009076B" w:rsidRPr="00121B7A">
        <w:rPr>
          <w:lang w:val="fr-CA"/>
        </w:rPr>
        <w:t xml:space="preserve">vapotage </w:t>
      </w:r>
      <w:r w:rsidR="005B364D" w:rsidRPr="00CE70F3">
        <w:rPr>
          <w:rFonts w:eastAsia="Times New Roman" w:cs="Arial"/>
          <w:spacing w:val="-17"/>
          <w:szCs w:val="24"/>
          <w:lang w:val="fr-CA" w:bidi="en-US"/>
        </w:rPr>
        <w:t xml:space="preserve">et le </w:t>
      </w:r>
      <w:r w:rsidR="00CC2625" w:rsidRPr="00CE70F3">
        <w:rPr>
          <w:lang w:val="fr-CA"/>
        </w:rPr>
        <w:t xml:space="preserve">droit </w:t>
      </w:r>
      <w:r w:rsidR="00CC2625" w:rsidRPr="00CE70F3">
        <w:rPr>
          <w:rFonts w:eastAsia="Times New Roman" w:cs="Arial"/>
          <w:szCs w:val="24"/>
          <w:lang w:val="fr-CA" w:bidi="en-US"/>
        </w:rPr>
        <w:t>additionnel</w:t>
      </w:r>
      <w:r w:rsidR="00CC2625" w:rsidRPr="00CE70F3">
        <w:rPr>
          <w:lang w:val="fr-CA"/>
        </w:rPr>
        <w:t xml:space="preserve"> sur le vapotage</w:t>
      </w:r>
      <w:r w:rsidR="005B364D" w:rsidRPr="00121B7A">
        <w:rPr>
          <w:lang w:val="fr-CA"/>
        </w:rPr>
        <w:t xml:space="preserve"> </w:t>
      </w:r>
      <w:r w:rsidR="005B364D" w:rsidRPr="00CE70F3">
        <w:rPr>
          <w:lang w:val="fr-CA"/>
        </w:rPr>
        <w:t>sont applicables</w:t>
      </w:r>
      <w:r w:rsidR="005B364D" w:rsidRPr="00121B7A">
        <w:rPr>
          <w:lang w:val="fr-CA"/>
        </w:rPr>
        <w:t xml:space="preserve"> </w:t>
      </w:r>
      <w:r w:rsidR="0009076B" w:rsidRPr="00121B7A">
        <w:rPr>
          <w:lang w:val="fr-CA"/>
        </w:rPr>
        <w:t>et</w:t>
      </w:r>
      <w:r w:rsidR="0009076B" w:rsidRPr="0009076B">
        <w:rPr>
          <w:lang w:val="fr-CA"/>
        </w:rPr>
        <w:t xml:space="preserve"> feront les calculs nécessaires. Pour plus de renseignements, consultez le </w:t>
      </w:r>
      <w:r w:rsidR="0009076B" w:rsidRPr="00A01577">
        <w:rPr>
          <w:i/>
          <w:lang w:val="fr-CA"/>
        </w:rPr>
        <w:t>Mémorandum D17-1-3, Importations occasionnelles</w:t>
      </w:r>
      <w:r w:rsidR="0009076B" w:rsidRPr="0009076B">
        <w:rPr>
          <w:lang w:val="fr-CA"/>
        </w:rPr>
        <w:t xml:space="preserve"> et le mémorandum approprié de la série des </w:t>
      </w:r>
      <w:r w:rsidR="0009076B" w:rsidRPr="00A01577">
        <w:rPr>
          <w:i/>
          <w:lang w:val="fr-CA"/>
        </w:rPr>
        <w:t xml:space="preserve">Mémorandums D : D2 – Voyage </w:t>
      </w:r>
      <w:r w:rsidR="0009076B" w:rsidRPr="00A01577">
        <w:rPr>
          <w:i/>
          <w:lang w:val="fr-CA"/>
        </w:rPr>
        <w:lastRenderedPageBreak/>
        <w:t>international</w:t>
      </w:r>
      <w:r w:rsidR="0009076B" w:rsidRPr="0009076B">
        <w:rPr>
          <w:lang w:val="fr-CA"/>
        </w:rPr>
        <w:t xml:space="preserve">, aux liens se trouvant dans la section </w:t>
      </w:r>
      <w:hyperlink w:anchor="Lienscommexes" w:history="1">
        <w:r w:rsidR="002B45D3" w:rsidRPr="00A01577">
          <w:rPr>
            <w:rStyle w:val="Hyperlink"/>
            <w:color w:val="auto"/>
            <w:u w:val="none"/>
            <w:lang w:val="fr-CA"/>
          </w:rPr>
          <w:t>Liens connexes</w:t>
        </w:r>
      </w:hyperlink>
      <w:r w:rsidR="0009076B" w:rsidRPr="007277AB">
        <w:rPr>
          <w:lang w:val="fr-CA"/>
        </w:rPr>
        <w:t xml:space="preserve"> </w:t>
      </w:r>
      <w:r w:rsidR="0009076B" w:rsidRPr="0009076B">
        <w:rPr>
          <w:lang w:val="fr-CA"/>
        </w:rPr>
        <w:t>de ce mémorandum et la section Calcul des droits et taxes de ce mémorandum.</w:t>
      </w:r>
    </w:p>
    <w:p w14:paraId="3C501D55" w14:textId="1E14EA30" w:rsidR="0009076B" w:rsidRPr="00CE70F3" w:rsidRDefault="00174C3C" w:rsidP="00CE70F3">
      <w:pPr>
        <w:rPr>
          <w:b/>
          <w:lang w:val="fr-CA"/>
        </w:rPr>
      </w:pPr>
      <w:bookmarkStart w:id="54" w:name="SSH13"/>
      <w:r w:rsidRPr="00CE70F3">
        <w:rPr>
          <w:b/>
          <w:lang w:val="fr-CA"/>
        </w:rPr>
        <w:t>Exemptions personnelles</w:t>
      </w:r>
      <w:bookmarkEnd w:id="54"/>
    </w:p>
    <w:p w14:paraId="688207D0" w14:textId="624B997C" w:rsidR="0009076B" w:rsidRPr="0009076B" w:rsidRDefault="0080427E" w:rsidP="0009076B">
      <w:pPr>
        <w:rPr>
          <w:lang w:val="fr-CA"/>
        </w:rPr>
      </w:pPr>
      <w:r>
        <w:rPr>
          <w:lang w:val="fr-CA"/>
        </w:rPr>
        <w:t>75</w:t>
      </w:r>
      <w:r w:rsidR="009A779B">
        <w:rPr>
          <w:lang w:val="fr-CA"/>
        </w:rPr>
        <w:t xml:space="preserve">. </w:t>
      </w:r>
      <w:r w:rsidR="0009076B" w:rsidRPr="0009076B">
        <w:rPr>
          <w:lang w:val="fr-CA"/>
        </w:rPr>
        <w:t xml:space="preserve">Pour plus de renseignements sur les importations en franchise de droits et taxes et sur les limites à l’importation de produits de vapotage accompagnés du voyageur (qu’ils soient taxés ou non), consultez le mémorandum approprié de la série des </w:t>
      </w:r>
      <w:r w:rsidR="0009076B" w:rsidRPr="00A01577">
        <w:rPr>
          <w:i/>
          <w:lang w:val="fr-CA"/>
        </w:rPr>
        <w:t>Mémorandums D : D2 – Voyage international</w:t>
      </w:r>
      <w:r w:rsidR="0009076B" w:rsidRPr="0009076B">
        <w:rPr>
          <w:lang w:val="fr-CA"/>
        </w:rPr>
        <w:t xml:space="preserve">, au lien se trouvant dans la section </w:t>
      </w:r>
      <w:hyperlink w:anchor="Lienscommexes" w:history="1">
        <w:r w:rsidR="002B45D3" w:rsidRPr="00A01577">
          <w:rPr>
            <w:rStyle w:val="Hyperlink"/>
            <w:color w:val="auto"/>
            <w:u w:val="none"/>
            <w:lang w:val="fr-CA"/>
          </w:rPr>
          <w:t>Liens connexes</w:t>
        </w:r>
      </w:hyperlink>
      <w:r w:rsidR="0009076B" w:rsidRPr="00A01A66">
        <w:rPr>
          <w:lang w:val="fr-CA"/>
        </w:rPr>
        <w:t xml:space="preserve"> </w:t>
      </w:r>
      <w:r w:rsidR="0009076B" w:rsidRPr="0009076B">
        <w:rPr>
          <w:lang w:val="fr-CA"/>
        </w:rPr>
        <w:t>de ce mémorandum.</w:t>
      </w:r>
    </w:p>
    <w:p w14:paraId="5F72B0C5" w14:textId="7CBD2945" w:rsidR="0009076B" w:rsidRPr="00CE70F3" w:rsidRDefault="0009076B" w:rsidP="00CE70F3">
      <w:pPr>
        <w:rPr>
          <w:b/>
          <w:lang w:val="fr-CA"/>
        </w:rPr>
      </w:pPr>
      <w:bookmarkStart w:id="55" w:name="SSH14"/>
      <w:r w:rsidRPr="00CE70F3">
        <w:rPr>
          <w:b/>
          <w:lang w:val="fr-CA"/>
        </w:rPr>
        <w:t>Marchandises commerciales</w:t>
      </w:r>
      <w:bookmarkEnd w:id="55"/>
      <w:r w:rsidR="00F71D60" w:rsidRPr="00CE70F3">
        <w:rPr>
          <w:b/>
          <w:lang w:val="fr-CA"/>
        </w:rPr>
        <w:tab/>
      </w:r>
    </w:p>
    <w:p w14:paraId="72EC1321" w14:textId="51989319" w:rsidR="000955CB" w:rsidRPr="00A4464A" w:rsidRDefault="0080427E">
      <w:pPr>
        <w:widowControl w:val="0"/>
        <w:tabs>
          <w:tab w:val="left" w:pos="674"/>
        </w:tabs>
        <w:autoSpaceDE w:val="0"/>
        <w:autoSpaceDN w:val="0"/>
        <w:ind w:right="1735"/>
        <w:rPr>
          <w:rFonts w:eastAsia="Times New Roman" w:cs="Arial"/>
          <w:szCs w:val="24"/>
          <w:highlight w:val="yellow"/>
          <w:lang w:val="fr-CA" w:bidi="en-US"/>
        </w:rPr>
      </w:pPr>
      <w:r>
        <w:rPr>
          <w:lang w:val="fr-CA"/>
        </w:rPr>
        <w:t>76</w:t>
      </w:r>
      <w:r w:rsidR="009A779B">
        <w:rPr>
          <w:lang w:val="fr-CA"/>
        </w:rPr>
        <w:t xml:space="preserve">. </w:t>
      </w:r>
      <w:r w:rsidR="0009076B" w:rsidRPr="0009076B">
        <w:rPr>
          <w:lang w:val="fr-CA"/>
        </w:rPr>
        <w:t xml:space="preserve">La déclaration et la déclaration en détail des produits de vapotage qui sont des marchandises commerciales, lorsque le droit </w:t>
      </w:r>
      <w:r w:rsidR="00AB02DC">
        <w:rPr>
          <w:lang w:val="fr-CA"/>
        </w:rPr>
        <w:t>sur le</w:t>
      </w:r>
      <w:r w:rsidR="0009076B" w:rsidRPr="0009076B">
        <w:rPr>
          <w:lang w:val="fr-CA"/>
        </w:rPr>
        <w:t xml:space="preserve"> vapotage est, ou n’est pas, exigible à l’importation, se fait de la même manière et dans le même délai prescrit que lorsque des droits et autres taxes sont, ou ne sont pas, exigibles. Les marchandises commerciales sont des marchandises importées au Canada, destinées à la vente ou à des fins commerciales</w:t>
      </w:r>
      <w:r w:rsidR="0009076B" w:rsidRPr="00121B7A">
        <w:rPr>
          <w:lang w:val="fr-CA"/>
        </w:rPr>
        <w:t>, industrielles, professionnelles, institutionnelles ou à d’autres fins semblables.</w:t>
      </w:r>
      <w:r w:rsidR="000955CB" w:rsidRPr="00121B7A">
        <w:rPr>
          <w:lang w:val="fr-CA"/>
        </w:rPr>
        <w:t xml:space="preserve"> </w:t>
      </w:r>
      <w:r w:rsidR="000955CB" w:rsidRPr="00CE70F3">
        <w:rPr>
          <w:rFonts w:eastAsia="Times New Roman" w:cs="Arial"/>
          <w:szCs w:val="24"/>
          <w:lang w:val="fr-CA" w:bidi="en-US"/>
        </w:rPr>
        <w:t xml:space="preserve">Pour plus de renseignements, consultez </w:t>
      </w:r>
      <w:r w:rsidR="000955CB" w:rsidRPr="00CE70F3">
        <w:rPr>
          <w:lang w:val="fr-CA"/>
        </w:rPr>
        <w:t xml:space="preserve">les </w:t>
      </w:r>
      <w:hyperlink r:id="rId13" w:history="1">
        <w:r w:rsidR="000955CB" w:rsidRPr="00CE70F3">
          <w:rPr>
            <w:rStyle w:val="Hyperlink"/>
            <w:i/>
            <w:lang w:val="fr-CA"/>
          </w:rPr>
          <w:t>Mémorandums</w:t>
        </w:r>
        <w:r w:rsidR="000955CB" w:rsidRPr="00CE70F3">
          <w:rPr>
            <w:rStyle w:val="Hyperlink"/>
            <w:rFonts w:eastAsia="Times New Roman" w:cs="Arial"/>
            <w:i/>
            <w:szCs w:val="24"/>
            <w:lang w:val="fr-CA" w:bidi="en-US"/>
          </w:rPr>
          <w:t xml:space="preserve"> D, D17 - Procédures de déclarations en détail et des mainlevées</w:t>
        </w:r>
      </w:hyperlink>
      <w:r w:rsidR="000955CB" w:rsidRPr="00CE70F3">
        <w:rPr>
          <w:rFonts w:eastAsia="Times New Roman" w:cs="Arial"/>
          <w:szCs w:val="24"/>
          <w:lang w:val="fr-CA" w:bidi="en-US"/>
        </w:rPr>
        <w:t xml:space="preserve">, au lien trouvé dans la section Liens connexes de ce mémorandum. </w:t>
      </w:r>
    </w:p>
    <w:p w14:paraId="320FA983" w14:textId="75E86488" w:rsidR="0009076B" w:rsidRPr="0009076B" w:rsidRDefault="008D3771" w:rsidP="0009076B">
      <w:pPr>
        <w:rPr>
          <w:lang w:val="fr-CA"/>
        </w:rPr>
      </w:pPr>
      <w:r>
        <w:rPr>
          <w:lang w:val="fr-CA"/>
        </w:rPr>
        <w:t>77</w:t>
      </w:r>
      <w:r w:rsidR="009A779B">
        <w:rPr>
          <w:lang w:val="fr-CA"/>
        </w:rPr>
        <w:t xml:space="preserve">. </w:t>
      </w:r>
      <w:r w:rsidR="0009076B" w:rsidRPr="0009076B">
        <w:rPr>
          <w:lang w:val="fr-CA"/>
        </w:rPr>
        <w:t>Les importateurs de produits de vapotage doivent s’assurer que l'approbation appropriée et valide de l’ARC est disponible lorsque demandée au moment de la déclaration par l’ASFC. Lorsque demandé, le numéro de licence de produits de vapotage ou la lettre d’approbation de l’A</w:t>
      </w:r>
      <w:r w:rsidR="006D73EA">
        <w:rPr>
          <w:lang w:val="fr-CA"/>
        </w:rPr>
        <w:t>RC valide doit être fourni(e) à</w:t>
      </w:r>
      <w:r w:rsidR="0009076B" w:rsidRPr="0009076B">
        <w:rPr>
          <w:lang w:val="fr-CA"/>
        </w:rPr>
        <w:t xml:space="preserve"> l’ASFC.</w:t>
      </w:r>
    </w:p>
    <w:p w14:paraId="1DE6DD36" w14:textId="63C1D7EB" w:rsidR="0009076B" w:rsidRPr="0009076B" w:rsidRDefault="008D3771" w:rsidP="0009076B">
      <w:pPr>
        <w:rPr>
          <w:lang w:val="fr-CA"/>
        </w:rPr>
      </w:pPr>
      <w:r>
        <w:rPr>
          <w:lang w:val="fr-CA"/>
        </w:rPr>
        <w:t>78</w:t>
      </w:r>
      <w:r w:rsidR="009A779B">
        <w:rPr>
          <w:lang w:val="fr-CA"/>
        </w:rPr>
        <w:t xml:space="preserve">. </w:t>
      </w:r>
      <w:r w:rsidR="0009076B" w:rsidRPr="0009076B">
        <w:rPr>
          <w:lang w:val="fr-CA"/>
        </w:rPr>
        <w:t>Lorsque la preuve du numéro de la licence de produits de vapotage ou la lettre d’approbation de l’ARC valide ne peut être fournie à l’ASFC lorsque demandée, les produits de vapotage pourraient devoir être soit exportés, abandonnés à la Couronne ou détruits.</w:t>
      </w:r>
    </w:p>
    <w:p w14:paraId="3CC11332" w14:textId="2F905A35" w:rsidR="0009076B" w:rsidRPr="0009076B" w:rsidRDefault="008D3771" w:rsidP="0009076B">
      <w:pPr>
        <w:rPr>
          <w:lang w:val="fr-CA"/>
        </w:rPr>
      </w:pPr>
      <w:r>
        <w:rPr>
          <w:lang w:val="fr-CA"/>
        </w:rPr>
        <w:t>79</w:t>
      </w:r>
      <w:r w:rsidR="009A779B">
        <w:rPr>
          <w:lang w:val="fr-CA"/>
        </w:rPr>
        <w:t>.</w:t>
      </w:r>
      <w:r w:rsidR="00E94A9C">
        <w:rPr>
          <w:lang w:val="fr-CA"/>
        </w:rPr>
        <w:t xml:space="preserve"> </w:t>
      </w:r>
      <w:r w:rsidR="00E94A9C" w:rsidRPr="00E94A9C">
        <w:rPr>
          <w:lang w:val="fr-CA"/>
        </w:rPr>
        <w:t>Lors de la déclaration en détail des produits de vapotage, l’importateur devrait compléter le formulaire B3 dans ses conditions normales. Cela inclut de déterminer correctement le numéro de classement adéquat et calculer les droits et taxes réguliers sur une même ligne du B3. Si des taxes provinciales sont applicables, cela sera aussi calculé sur une ligne séparée</w:t>
      </w:r>
      <w:r w:rsidR="008A7F37">
        <w:rPr>
          <w:lang w:val="fr-CA"/>
        </w:rPr>
        <w:t xml:space="preserve"> </w:t>
      </w:r>
      <w:r w:rsidR="0009076B" w:rsidRPr="00E94A9C">
        <w:rPr>
          <w:lang w:val="fr-CA"/>
        </w:rPr>
        <w:t xml:space="preserve">conformément aux procédures régulières énoncées dans le </w:t>
      </w:r>
      <w:r w:rsidR="0009076B" w:rsidRPr="00E94A9C">
        <w:rPr>
          <w:i/>
          <w:lang w:val="fr-CA"/>
        </w:rPr>
        <w:t>Mémorandum D17-1-22, Déclaration en détail de la taxe de vente harmonisée, de la taxe de vente provinciale, de la taxe provinciale sur le tabac et de la majoration ou du droit sur l'alcool à l'égard des importations occasionnelles traitées par les filières du secteur commercial et des services de messagerie</w:t>
      </w:r>
      <w:r w:rsidR="0009076B" w:rsidRPr="00F14B8B">
        <w:rPr>
          <w:lang w:val="fr-CA"/>
        </w:rPr>
        <w:t xml:space="preserve">, au lien se trouvant dans la section </w:t>
      </w:r>
      <w:hyperlink w:anchor="Lienscommexes" w:history="1">
        <w:r w:rsidR="002B45D3" w:rsidRPr="00E94A9C">
          <w:rPr>
            <w:rStyle w:val="Hyperlink"/>
            <w:color w:val="auto"/>
            <w:u w:val="none"/>
            <w:lang w:val="fr-CA"/>
          </w:rPr>
          <w:t>Liens connexes</w:t>
        </w:r>
      </w:hyperlink>
      <w:r w:rsidR="0009076B" w:rsidRPr="00C56583">
        <w:rPr>
          <w:lang w:val="fr-CA"/>
        </w:rPr>
        <w:t xml:space="preserve"> </w:t>
      </w:r>
      <w:r w:rsidR="0009076B" w:rsidRPr="00F14B8B">
        <w:rPr>
          <w:lang w:val="fr-CA"/>
        </w:rPr>
        <w:t>de ce mémorandum.</w:t>
      </w:r>
    </w:p>
    <w:p w14:paraId="560A2FF1" w14:textId="1A4374C5" w:rsidR="0009076B" w:rsidRPr="0009076B" w:rsidRDefault="008D3771" w:rsidP="0009076B">
      <w:pPr>
        <w:rPr>
          <w:lang w:val="fr-CA"/>
        </w:rPr>
      </w:pPr>
      <w:r>
        <w:rPr>
          <w:lang w:val="fr-CA"/>
        </w:rPr>
        <w:t>80</w:t>
      </w:r>
      <w:r w:rsidR="009A779B">
        <w:rPr>
          <w:lang w:val="fr-CA"/>
        </w:rPr>
        <w:t xml:space="preserve">. </w:t>
      </w:r>
      <w:r w:rsidR="0009076B" w:rsidRPr="0009076B">
        <w:rPr>
          <w:lang w:val="fr-CA"/>
        </w:rPr>
        <w:t xml:space="preserve">L’importateur doit payer tous les droits de douane, la TPS/TVH et le droit sur le vapotage au moment de la déclaration en détail (le report du montant égal au droit sur le vapotage n’est pas permis pour les produits de vapotage). Pour plus de renseignements, consultez la </w:t>
      </w:r>
      <w:r w:rsidR="0009076B" w:rsidRPr="002218F3">
        <w:rPr>
          <w:lang w:val="fr-CA"/>
        </w:rPr>
        <w:t>section Calcul des droits et taxes de ce mémorandum.</w:t>
      </w:r>
    </w:p>
    <w:p w14:paraId="5FDE1507" w14:textId="34EAC5B5" w:rsidR="0009076B" w:rsidRPr="0009076B" w:rsidRDefault="008D3771" w:rsidP="0009076B">
      <w:pPr>
        <w:rPr>
          <w:lang w:val="fr-CA"/>
        </w:rPr>
      </w:pPr>
      <w:r>
        <w:rPr>
          <w:lang w:val="fr-CA"/>
        </w:rPr>
        <w:t>81</w:t>
      </w:r>
      <w:r w:rsidR="009A779B">
        <w:rPr>
          <w:lang w:val="fr-CA"/>
        </w:rPr>
        <w:t xml:space="preserve">. </w:t>
      </w:r>
      <w:r w:rsidR="0009076B" w:rsidRPr="0009076B">
        <w:rPr>
          <w:lang w:val="fr-CA"/>
        </w:rPr>
        <w:t>L’ASFC peut exiger des documents justificatifs pour l’importation d’un produit de vapotage respectant les conditions d’une des exceptions mentionnées ci-dessus qui est réclamée par l’importateur. Si, au moment de la déclaration en détail des produits (lorsque les produits ont obtenu la mainlevée), le document justificatif requis n’est pas valide ou n’est pas fourni à l’ASFC lorsque requis, à l’égard d’une importation spécifique, et que le droit sur le vapotage serait exigible en l’absence d’une telle preuve, le droit sur le vapotage serait alors applicable.</w:t>
      </w:r>
    </w:p>
    <w:p w14:paraId="74300C3C" w14:textId="65D99DA2" w:rsidR="002477A1" w:rsidRPr="00CE70F3" w:rsidRDefault="0009076B" w:rsidP="00CE70F3">
      <w:pPr>
        <w:rPr>
          <w:b/>
          <w:lang w:val="fr-CA"/>
        </w:rPr>
      </w:pPr>
      <w:bookmarkStart w:id="56" w:name="SSH15"/>
      <w:r w:rsidRPr="00CE70F3">
        <w:rPr>
          <w:b/>
          <w:lang w:val="fr-CA"/>
        </w:rPr>
        <w:t>Importateurs PAD (Programme d’autocotisation des douanes)</w:t>
      </w:r>
      <w:bookmarkEnd w:id="56"/>
    </w:p>
    <w:p w14:paraId="1898EC0E" w14:textId="0374816B" w:rsidR="009A779B" w:rsidRDefault="00083516" w:rsidP="009A779B">
      <w:pPr>
        <w:rPr>
          <w:lang w:val="fr-CA"/>
        </w:rPr>
      </w:pPr>
      <w:r>
        <w:rPr>
          <w:lang w:val="fr-CA"/>
        </w:rPr>
        <w:t>82</w:t>
      </w:r>
      <w:r w:rsidR="009A779B">
        <w:rPr>
          <w:lang w:val="fr-CA"/>
        </w:rPr>
        <w:t xml:space="preserve">. </w:t>
      </w:r>
      <w:r w:rsidR="009A779B" w:rsidRPr="009A779B">
        <w:rPr>
          <w:lang w:val="fr-CA"/>
        </w:rPr>
        <w:t xml:space="preserve">Les produits de vapotage sont considérés comme des marchandises éligibles aux fins du PAD. Le code SR 49435 (TX/DROITS D'ACCISE - PRODUITS DE VAPOTAGE) doit être utilisé sur le formulaire E648 – Sommaire des recettes pour le PAD. Pour plus de renseignements, consultez le </w:t>
      </w:r>
      <w:r w:rsidR="009A779B" w:rsidRPr="00F05840">
        <w:rPr>
          <w:i/>
          <w:lang w:val="fr-CA"/>
        </w:rPr>
        <w:t>Mémorandum D23-3-1, Programme d’autocotisation des douanes (PAD) pour les importateurs</w:t>
      </w:r>
      <w:r w:rsidR="009A779B" w:rsidRPr="009A779B">
        <w:rPr>
          <w:lang w:val="fr-CA"/>
        </w:rPr>
        <w:t xml:space="preserve">, au lien se trouvant dans la section </w:t>
      </w:r>
      <w:hyperlink w:anchor="Lienscommexes" w:history="1">
        <w:r w:rsidR="000E13D3" w:rsidRPr="00F05840">
          <w:rPr>
            <w:rStyle w:val="Hyperlink"/>
            <w:color w:val="auto"/>
            <w:u w:val="none"/>
            <w:lang w:val="fr-CA"/>
          </w:rPr>
          <w:t>Liens connexes</w:t>
        </w:r>
      </w:hyperlink>
      <w:r w:rsidR="009A779B" w:rsidRPr="00D04FF8">
        <w:rPr>
          <w:lang w:val="fr-CA"/>
        </w:rPr>
        <w:t xml:space="preserve"> </w:t>
      </w:r>
      <w:r w:rsidR="009A779B" w:rsidRPr="009A779B">
        <w:rPr>
          <w:lang w:val="fr-CA"/>
        </w:rPr>
        <w:t>de ce mémorandum.</w:t>
      </w:r>
    </w:p>
    <w:p w14:paraId="702E1EE8" w14:textId="637E110E" w:rsidR="009A779B" w:rsidRPr="00CE70F3" w:rsidRDefault="00427B86" w:rsidP="007D6D16">
      <w:pPr>
        <w:pStyle w:val="Heading3"/>
      </w:pPr>
      <w:bookmarkStart w:id="57" w:name="_Déclaration_en_détail"/>
      <w:bookmarkStart w:id="58" w:name="SH26"/>
      <w:bookmarkEnd w:id="57"/>
      <w:r w:rsidRPr="00CE70F3">
        <w:t xml:space="preserve">Déclaration en détail </w:t>
      </w:r>
      <w:bookmarkEnd w:id="58"/>
      <w:r w:rsidR="00F44831" w:rsidRPr="00D14570">
        <w:t xml:space="preserve">des </w:t>
      </w:r>
      <w:r w:rsidR="00AE1498" w:rsidRPr="00CE70F3">
        <w:t xml:space="preserve">marchandises commerciales -  droit sur le vapotage </w:t>
      </w:r>
      <w:r w:rsidR="00D14570" w:rsidRPr="00CE70F3">
        <w:t xml:space="preserve">exigible </w:t>
      </w:r>
      <w:r w:rsidR="00AE1498" w:rsidRPr="00CE70F3">
        <w:t>et</w:t>
      </w:r>
      <w:r w:rsidR="00E15F5A" w:rsidRPr="00CE70F3">
        <w:t xml:space="preserve"> </w:t>
      </w:r>
      <w:r w:rsidR="00AE1498" w:rsidRPr="00CE70F3">
        <w:t xml:space="preserve">droit </w:t>
      </w:r>
      <w:r w:rsidR="00203E8B" w:rsidRPr="00D14570">
        <w:t>additionnel</w:t>
      </w:r>
      <w:r w:rsidR="00203E8B" w:rsidRPr="00CE70F3">
        <w:t xml:space="preserve"> sur le</w:t>
      </w:r>
      <w:r w:rsidR="00AE1498" w:rsidRPr="00CE70F3">
        <w:t xml:space="preserve"> vapotage non applicable</w:t>
      </w:r>
      <w:r w:rsidR="000946F1" w:rsidRPr="00CE70F3">
        <w:t xml:space="preserve"> </w:t>
      </w:r>
    </w:p>
    <w:p w14:paraId="1005E573" w14:textId="6C85FCA5" w:rsidR="003B2E83" w:rsidRDefault="00083516" w:rsidP="002477A1">
      <w:pPr>
        <w:rPr>
          <w:szCs w:val="24"/>
          <w:lang w:val="fr-CA"/>
        </w:rPr>
      </w:pPr>
      <w:r w:rsidRPr="00CE70F3">
        <w:rPr>
          <w:lang w:val="fr-CA"/>
        </w:rPr>
        <w:t>83</w:t>
      </w:r>
      <w:r w:rsidR="009A779B" w:rsidRPr="00CE70F3">
        <w:rPr>
          <w:lang w:val="fr-CA"/>
        </w:rPr>
        <w:t xml:space="preserve">. </w:t>
      </w:r>
      <w:r w:rsidR="00D11163" w:rsidRPr="00CE70F3">
        <w:rPr>
          <w:szCs w:val="24"/>
          <w:lang w:val="fr-CA"/>
        </w:rPr>
        <w:t xml:space="preserve">Pour déclarer en détail des produits de vapotage où le droit sur le vapotage est exigible à l’importation, l’importateur doit inscrire le numéro de classement tarifaire adéquat sur une seule ligne pour les marchandises et inclure le code de taxe d’accise approprié dans </w:t>
      </w:r>
      <w:r w:rsidR="005D2FDD" w:rsidRPr="00CE70F3">
        <w:rPr>
          <w:rFonts w:cs="Arial"/>
          <w:szCs w:val="24"/>
          <w:lang w:val="fr-CA"/>
        </w:rPr>
        <w:t xml:space="preserve">le champ </w:t>
      </w:r>
      <w:r w:rsidR="005D2FDD" w:rsidRPr="00CE70F3">
        <w:rPr>
          <w:rFonts w:eastAsia="Times New Roman" w:cs="Arial"/>
          <w:color w:val="333333"/>
          <w:szCs w:val="24"/>
          <w:lang w:val="fr-CA"/>
        </w:rPr>
        <w:t xml:space="preserve">TAUX T.A. </w:t>
      </w:r>
      <w:r w:rsidR="003C140F" w:rsidRPr="00CE70F3">
        <w:rPr>
          <w:szCs w:val="24"/>
          <w:lang w:val="fr-CA"/>
        </w:rPr>
        <w:t>(</w:t>
      </w:r>
      <w:r w:rsidR="005D2FDD" w:rsidRPr="00CE70F3">
        <w:rPr>
          <w:szCs w:val="24"/>
          <w:lang w:val="fr-CA"/>
        </w:rPr>
        <w:t>champ</w:t>
      </w:r>
      <w:r w:rsidR="00D11163" w:rsidRPr="00CE70F3">
        <w:rPr>
          <w:szCs w:val="24"/>
          <w:lang w:val="fr-CA"/>
        </w:rPr>
        <w:t xml:space="preserve"> 34</w:t>
      </w:r>
      <w:r w:rsidR="005D2FDD" w:rsidRPr="00CE70F3">
        <w:rPr>
          <w:szCs w:val="24"/>
          <w:lang w:val="fr-CA"/>
        </w:rPr>
        <w:t>)</w:t>
      </w:r>
      <w:r w:rsidR="00D11163" w:rsidRPr="00CE70F3">
        <w:rPr>
          <w:szCs w:val="24"/>
          <w:lang w:val="fr-CA"/>
        </w:rPr>
        <w:t xml:space="preserve">. Ce code varie selon si les marchandises sont des produits de vapotage liquides (ml) ou solides (g) (voir le tableau ci-dessous pour une liste des codes de taxe d’accise applicables lorsque le droit sur le vapotage est exigible). Le montant du droit sur le vapotage est calculé manuellement et inscrit dans </w:t>
      </w:r>
      <w:r w:rsidR="003C140F" w:rsidRPr="00CE70F3">
        <w:rPr>
          <w:rFonts w:cs="Arial"/>
          <w:szCs w:val="24"/>
          <w:lang w:val="fr-CA"/>
        </w:rPr>
        <w:t>le champ TAXE D'ACCISE</w:t>
      </w:r>
      <w:r w:rsidR="003C140F" w:rsidRPr="00CE70F3">
        <w:rPr>
          <w:rFonts w:eastAsia="Times New Roman" w:cs="Arial"/>
          <w:color w:val="333333"/>
          <w:szCs w:val="24"/>
          <w:lang w:val="fr-CA"/>
        </w:rPr>
        <w:t xml:space="preserve"> (champ</w:t>
      </w:r>
      <w:r w:rsidR="00D11163" w:rsidRPr="00CE70F3">
        <w:rPr>
          <w:szCs w:val="24"/>
          <w:lang w:val="fr-CA"/>
        </w:rPr>
        <w:t xml:space="preserve"> 40</w:t>
      </w:r>
      <w:r w:rsidR="003C140F" w:rsidRPr="00CE70F3">
        <w:rPr>
          <w:szCs w:val="24"/>
          <w:lang w:val="fr-CA"/>
        </w:rPr>
        <w:t>)</w:t>
      </w:r>
      <w:r w:rsidR="00D11163" w:rsidRPr="00CE70F3">
        <w:rPr>
          <w:szCs w:val="24"/>
          <w:lang w:val="fr-CA"/>
        </w:rPr>
        <w:t>.</w:t>
      </w:r>
    </w:p>
    <w:p w14:paraId="3C3A23E3" w14:textId="77777777" w:rsidR="000225F8" w:rsidRDefault="000225F8" w:rsidP="002477A1">
      <w:pPr>
        <w:rPr>
          <w:lang w:val="fr-CA"/>
        </w:rPr>
      </w:pPr>
    </w:p>
    <w:tbl>
      <w:tblPr>
        <w:tblW w:w="0" w:type="auto"/>
        <w:tblInd w:w="1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87"/>
        <w:gridCol w:w="2419"/>
      </w:tblGrid>
      <w:tr w:rsidR="00427B86" w:rsidRPr="00CE70F3" w14:paraId="423E59EA" w14:textId="77777777" w:rsidTr="00344FF9">
        <w:trPr>
          <w:trHeight w:val="364"/>
        </w:trPr>
        <w:tc>
          <w:tcPr>
            <w:tcW w:w="8106" w:type="dxa"/>
            <w:gridSpan w:val="2"/>
            <w:shd w:val="clear" w:color="auto" w:fill="D9D9D9"/>
          </w:tcPr>
          <w:p w14:paraId="2461426F" w14:textId="0C25DE51" w:rsidR="00427B86" w:rsidRPr="00427B86" w:rsidRDefault="00427B86">
            <w:pPr>
              <w:widowControl w:val="0"/>
              <w:autoSpaceDE w:val="0"/>
              <w:autoSpaceDN w:val="0"/>
              <w:spacing w:after="0" w:line="238" w:lineRule="exact"/>
              <w:ind w:left="1" w:right="174"/>
              <w:rPr>
                <w:rFonts w:eastAsia="Times New Roman" w:cs="Arial"/>
                <w:b/>
                <w:szCs w:val="24"/>
                <w:lang w:val="fr-FR" w:eastAsia="fr-FR" w:bidi="fr-FR"/>
              </w:rPr>
            </w:pPr>
            <w:r>
              <w:rPr>
                <w:rFonts w:eastAsia="Times New Roman" w:cs="Arial"/>
                <w:b/>
                <w:szCs w:val="24"/>
                <w:lang w:val="fr-FR" w:eastAsia="fr-FR" w:bidi="fr-FR"/>
              </w:rPr>
              <w:lastRenderedPageBreak/>
              <w:t>Tableau 1 :</w:t>
            </w:r>
            <w:r w:rsidR="004F3B26">
              <w:rPr>
                <w:rFonts w:eastAsia="Times New Roman" w:cs="Arial"/>
                <w:b/>
                <w:szCs w:val="24"/>
                <w:lang w:val="fr-FR" w:eastAsia="fr-FR" w:bidi="fr-FR"/>
              </w:rPr>
              <w:t xml:space="preserve"> </w:t>
            </w:r>
            <w:r>
              <w:rPr>
                <w:rFonts w:eastAsia="Times New Roman" w:cs="Arial"/>
                <w:b/>
                <w:szCs w:val="24"/>
                <w:lang w:val="fr-FR" w:eastAsia="fr-FR" w:bidi="fr-FR"/>
              </w:rPr>
              <w:t xml:space="preserve">Code de taxe d’accise </w:t>
            </w:r>
            <w:r w:rsidR="00F44831">
              <w:rPr>
                <w:rFonts w:eastAsia="Times New Roman" w:cs="Arial"/>
                <w:b/>
                <w:szCs w:val="24"/>
                <w:lang w:val="fr-FR" w:eastAsia="fr-FR" w:bidi="fr-FR"/>
              </w:rPr>
              <w:t>-</w:t>
            </w:r>
            <w:r>
              <w:rPr>
                <w:rFonts w:eastAsia="Times New Roman" w:cs="Arial"/>
                <w:b/>
                <w:szCs w:val="24"/>
                <w:lang w:val="fr-FR" w:eastAsia="fr-FR" w:bidi="fr-FR"/>
              </w:rPr>
              <w:t xml:space="preserve"> </w:t>
            </w:r>
            <w:r w:rsidR="00F44831">
              <w:rPr>
                <w:rFonts w:eastAsia="Times New Roman" w:cs="Arial"/>
                <w:b/>
                <w:szCs w:val="24"/>
                <w:lang w:val="fr-FR" w:eastAsia="fr-FR" w:bidi="fr-FR"/>
              </w:rPr>
              <w:t xml:space="preserve">droit sur le </w:t>
            </w:r>
            <w:r>
              <w:rPr>
                <w:rFonts w:eastAsia="Times New Roman" w:cs="Arial"/>
                <w:b/>
                <w:szCs w:val="24"/>
                <w:lang w:val="fr-FR" w:eastAsia="fr-FR" w:bidi="fr-FR"/>
              </w:rPr>
              <w:t xml:space="preserve">vapotage exigible </w:t>
            </w:r>
          </w:p>
        </w:tc>
      </w:tr>
      <w:tr w:rsidR="00427B86" w:rsidRPr="00427B86" w14:paraId="02806740" w14:textId="77777777" w:rsidTr="00344FF9">
        <w:trPr>
          <w:trHeight w:val="364"/>
        </w:trPr>
        <w:tc>
          <w:tcPr>
            <w:tcW w:w="5687" w:type="dxa"/>
            <w:shd w:val="clear" w:color="auto" w:fill="D9D9D9"/>
          </w:tcPr>
          <w:p w14:paraId="444B5B9D" w14:textId="5D0DB3A3" w:rsidR="00427B86" w:rsidRPr="00427B86" w:rsidRDefault="00427B86" w:rsidP="00427B86">
            <w:pPr>
              <w:widowControl w:val="0"/>
              <w:autoSpaceDE w:val="0"/>
              <w:autoSpaceDN w:val="0"/>
              <w:spacing w:after="0" w:line="238" w:lineRule="exact"/>
              <w:ind w:left="1"/>
              <w:jc w:val="both"/>
              <w:rPr>
                <w:rFonts w:eastAsia="Times New Roman" w:cs="Arial"/>
                <w:b/>
                <w:szCs w:val="24"/>
                <w:lang w:val="fr-FR" w:eastAsia="fr-FR" w:bidi="fr-FR"/>
              </w:rPr>
            </w:pPr>
            <w:r w:rsidRPr="00427B86">
              <w:rPr>
                <w:rFonts w:eastAsia="Times New Roman" w:cs="Arial"/>
                <w:b/>
                <w:szCs w:val="24"/>
                <w:lang w:val="fr-FR" w:eastAsia="fr-FR" w:bidi="fr-FR"/>
              </w:rPr>
              <w:t>Droit sur le vapotage exigible</w:t>
            </w:r>
          </w:p>
        </w:tc>
        <w:tc>
          <w:tcPr>
            <w:tcW w:w="2419" w:type="dxa"/>
            <w:shd w:val="clear" w:color="auto" w:fill="D9D9D9"/>
          </w:tcPr>
          <w:p w14:paraId="1A0665E9" w14:textId="77777777" w:rsidR="00427B86" w:rsidRPr="00427B86" w:rsidRDefault="00427B86" w:rsidP="00427B86">
            <w:pPr>
              <w:widowControl w:val="0"/>
              <w:autoSpaceDE w:val="0"/>
              <w:autoSpaceDN w:val="0"/>
              <w:spacing w:after="0" w:line="238" w:lineRule="exact"/>
              <w:ind w:right="20"/>
              <w:rPr>
                <w:rFonts w:eastAsia="Times New Roman" w:cs="Arial"/>
                <w:b/>
                <w:szCs w:val="24"/>
                <w:lang w:val="fr-FR" w:eastAsia="fr-FR" w:bidi="fr-FR"/>
              </w:rPr>
            </w:pPr>
            <w:r w:rsidRPr="00427B86">
              <w:rPr>
                <w:rFonts w:eastAsia="Times New Roman" w:cs="Arial"/>
                <w:b/>
                <w:szCs w:val="24"/>
                <w:lang w:val="fr-FR" w:eastAsia="fr-FR" w:bidi="fr-FR"/>
              </w:rPr>
              <w:t>Code de taxe d’accise</w:t>
            </w:r>
          </w:p>
        </w:tc>
      </w:tr>
      <w:tr w:rsidR="00427B86" w:rsidRPr="00427B86" w14:paraId="7108F77F" w14:textId="77777777" w:rsidTr="00344FF9">
        <w:trPr>
          <w:trHeight w:val="363"/>
        </w:trPr>
        <w:tc>
          <w:tcPr>
            <w:tcW w:w="5687" w:type="dxa"/>
          </w:tcPr>
          <w:p w14:paraId="1305C04B" w14:textId="1A0F73FC" w:rsidR="00427B86" w:rsidRPr="00427B86" w:rsidRDefault="00427B86" w:rsidP="00427B86">
            <w:pPr>
              <w:widowControl w:val="0"/>
              <w:autoSpaceDE w:val="0"/>
              <w:autoSpaceDN w:val="0"/>
              <w:spacing w:after="0" w:line="237" w:lineRule="exact"/>
              <w:rPr>
                <w:rFonts w:eastAsia="Times New Roman" w:cs="Arial"/>
                <w:szCs w:val="24"/>
                <w:lang w:val="fr-FR" w:eastAsia="fr-FR" w:bidi="fr-FR"/>
              </w:rPr>
            </w:pPr>
            <w:r w:rsidRPr="00427B86">
              <w:rPr>
                <w:rFonts w:eastAsia="Times New Roman" w:cs="Arial"/>
                <w:szCs w:val="24"/>
                <w:lang w:val="fr-FR" w:eastAsia="fr-FR" w:bidi="fr-FR"/>
              </w:rPr>
              <w:t>produits de vapotage liquides (ml)</w:t>
            </w:r>
          </w:p>
        </w:tc>
        <w:tc>
          <w:tcPr>
            <w:tcW w:w="2419" w:type="dxa"/>
          </w:tcPr>
          <w:p w14:paraId="5EAEC002" w14:textId="77777777" w:rsidR="00427B86" w:rsidRPr="00427B86" w:rsidRDefault="00427B86" w:rsidP="00427B86">
            <w:pPr>
              <w:widowControl w:val="0"/>
              <w:autoSpaceDE w:val="0"/>
              <w:autoSpaceDN w:val="0"/>
              <w:spacing w:after="0" w:line="237" w:lineRule="exact"/>
              <w:ind w:left="174" w:right="157"/>
              <w:rPr>
                <w:rFonts w:eastAsia="Times New Roman" w:cs="Arial"/>
                <w:szCs w:val="24"/>
                <w:lang w:val="fr-FR" w:eastAsia="fr-FR" w:bidi="fr-FR"/>
              </w:rPr>
            </w:pPr>
            <w:r w:rsidRPr="00427B86">
              <w:rPr>
                <w:rFonts w:eastAsia="Times New Roman" w:cs="Arial"/>
                <w:szCs w:val="24"/>
                <w:lang w:val="fr-FR" w:eastAsia="fr-FR" w:bidi="fr-FR"/>
              </w:rPr>
              <w:t>46</w:t>
            </w:r>
          </w:p>
        </w:tc>
      </w:tr>
      <w:tr w:rsidR="00427B86" w:rsidRPr="00427B86" w14:paraId="3E5CD242" w14:textId="77777777" w:rsidTr="00344FF9">
        <w:trPr>
          <w:trHeight w:val="348"/>
        </w:trPr>
        <w:tc>
          <w:tcPr>
            <w:tcW w:w="5687" w:type="dxa"/>
          </w:tcPr>
          <w:p w14:paraId="000BBD20" w14:textId="0337BC79" w:rsidR="00427B86" w:rsidRPr="00427B86" w:rsidRDefault="00427B86" w:rsidP="00427B86">
            <w:pPr>
              <w:widowControl w:val="0"/>
              <w:autoSpaceDE w:val="0"/>
              <w:autoSpaceDN w:val="0"/>
              <w:spacing w:after="0" w:line="238" w:lineRule="exact"/>
              <w:ind w:left="1"/>
              <w:rPr>
                <w:rFonts w:eastAsia="Times New Roman" w:cs="Arial"/>
                <w:szCs w:val="24"/>
                <w:lang w:val="fr-FR" w:eastAsia="fr-FR" w:bidi="fr-FR"/>
              </w:rPr>
            </w:pPr>
            <w:r w:rsidRPr="00427B86">
              <w:rPr>
                <w:rFonts w:eastAsia="Times New Roman" w:cs="Arial"/>
                <w:szCs w:val="24"/>
                <w:lang w:val="fr-FR" w:eastAsia="fr-FR" w:bidi="fr-FR"/>
              </w:rPr>
              <w:t>produits de vapotage solides (g)</w:t>
            </w:r>
          </w:p>
        </w:tc>
        <w:tc>
          <w:tcPr>
            <w:tcW w:w="2419" w:type="dxa"/>
          </w:tcPr>
          <w:p w14:paraId="5D631D03" w14:textId="77777777" w:rsidR="00427B86" w:rsidRPr="00427B86" w:rsidRDefault="00427B86" w:rsidP="00427B86">
            <w:pPr>
              <w:widowControl w:val="0"/>
              <w:autoSpaceDE w:val="0"/>
              <w:autoSpaceDN w:val="0"/>
              <w:spacing w:after="0" w:line="238" w:lineRule="exact"/>
              <w:ind w:left="174" w:right="157"/>
              <w:rPr>
                <w:rFonts w:eastAsia="Times New Roman" w:cs="Arial"/>
                <w:szCs w:val="24"/>
                <w:lang w:val="fr-FR" w:eastAsia="fr-FR" w:bidi="fr-FR"/>
              </w:rPr>
            </w:pPr>
            <w:r w:rsidRPr="00427B86">
              <w:rPr>
                <w:rFonts w:eastAsia="Times New Roman" w:cs="Arial"/>
                <w:szCs w:val="24"/>
                <w:lang w:val="fr-FR" w:eastAsia="fr-FR" w:bidi="fr-FR"/>
              </w:rPr>
              <w:t>47</w:t>
            </w:r>
          </w:p>
        </w:tc>
      </w:tr>
    </w:tbl>
    <w:p w14:paraId="2FFFB0D7" w14:textId="2AE8CBFA" w:rsidR="003B2E83" w:rsidRDefault="003B2E83" w:rsidP="002477A1">
      <w:pPr>
        <w:rPr>
          <w:lang w:val="fr-CA"/>
        </w:rPr>
      </w:pPr>
    </w:p>
    <w:p w14:paraId="0F5AA8BF" w14:textId="7B554B52" w:rsidR="00427B86" w:rsidRPr="00CE70F3" w:rsidRDefault="00427B86" w:rsidP="00427B86">
      <w:pPr>
        <w:rPr>
          <w:b/>
          <w:lang w:val="fr-CA"/>
        </w:rPr>
      </w:pPr>
      <w:r w:rsidRPr="00CE70F3">
        <w:rPr>
          <w:b/>
          <w:lang w:val="fr-CA"/>
        </w:rPr>
        <w:t xml:space="preserve">Exemple </w:t>
      </w:r>
      <w:r w:rsidR="00C548B2" w:rsidRPr="00CE70F3">
        <w:rPr>
          <w:b/>
          <w:lang w:val="fr-CA"/>
        </w:rPr>
        <w:t>1</w:t>
      </w:r>
    </w:p>
    <w:p w14:paraId="00D4B862" w14:textId="1AA119AA" w:rsidR="00345646" w:rsidRDefault="00D11163" w:rsidP="005A5AA5">
      <w:pPr>
        <w:widowControl w:val="0"/>
        <w:autoSpaceDE w:val="0"/>
        <w:autoSpaceDN w:val="0"/>
        <w:ind w:right="1355"/>
        <w:rPr>
          <w:rFonts w:eastAsia="Times New Roman" w:cs="Arial"/>
          <w:szCs w:val="24"/>
          <w:lang w:val="fr-CA" w:bidi="en-US"/>
        </w:rPr>
      </w:pPr>
      <w:r w:rsidRPr="00CE70F3">
        <w:rPr>
          <w:lang w:val="fr-CA"/>
        </w:rPr>
        <w:t>L’exemple de B3 ci-dessous représente une importation commerciale d’une bouteille de 30 grammes de produit de vapotage solide qui a une valeur en douane de 50$.</w:t>
      </w:r>
      <w:r w:rsidR="00E602BB" w:rsidRPr="00CE70F3">
        <w:rPr>
          <w:lang w:val="fr-CA"/>
        </w:rPr>
        <w:t xml:space="preserve"> </w:t>
      </w:r>
      <w:r w:rsidR="00E602BB" w:rsidRPr="00CE70F3">
        <w:rPr>
          <w:rFonts w:eastAsia="Times New Roman" w:cs="Arial"/>
          <w:szCs w:val="24"/>
          <w:lang w:val="fr-CA" w:bidi="en-US"/>
        </w:rPr>
        <w:t xml:space="preserve">Les produits de vapotage ne sont pas destinés à la consommation, à l'utilisation ou à la vente aux consommateurs d'une province </w:t>
      </w:r>
      <w:r w:rsidR="00E602BB" w:rsidRPr="00CE70F3">
        <w:rPr>
          <w:rFonts w:cs="Arial"/>
          <w:lang w:val="fr-CA"/>
        </w:rPr>
        <w:t>déterminée</w:t>
      </w:r>
      <w:r w:rsidR="00E602BB" w:rsidRPr="00CE70F3">
        <w:rPr>
          <w:rFonts w:eastAsia="Times New Roman" w:cs="Arial"/>
          <w:szCs w:val="24"/>
          <w:lang w:val="fr-CA" w:bidi="en-US"/>
        </w:rPr>
        <w:t xml:space="preserve"> de vapotage.</w:t>
      </w:r>
    </w:p>
    <w:p w14:paraId="0EB1E031" w14:textId="329BCAA4" w:rsidR="007048FA" w:rsidRDefault="002D70B7" w:rsidP="00E602BB">
      <w:pPr>
        <w:widowControl w:val="0"/>
        <w:autoSpaceDE w:val="0"/>
        <w:autoSpaceDN w:val="0"/>
        <w:spacing w:before="126" w:after="0" w:line="228" w:lineRule="auto"/>
        <w:ind w:right="1356"/>
        <w:rPr>
          <w:rFonts w:eastAsia="Times New Roman" w:cs="Arial"/>
          <w:szCs w:val="24"/>
          <w:lang w:val="fr-CA" w:bidi="en-US"/>
        </w:rPr>
      </w:pPr>
      <w:r>
        <w:rPr>
          <w:noProof/>
          <w:lang w:eastAsia="zh-CN"/>
        </w:rPr>
        <w:drawing>
          <wp:inline distT="0" distB="0" distL="0" distR="0" wp14:anchorId="1DB9CD06" wp14:editId="5FB7C40A">
            <wp:extent cx="7004050" cy="904875"/>
            <wp:effectExtent l="0" t="0" r="635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004050" cy="904875"/>
                    </a:xfrm>
                    <a:prstGeom prst="rect">
                      <a:avLst/>
                    </a:prstGeom>
                  </pic:spPr>
                </pic:pic>
              </a:graphicData>
            </a:graphic>
          </wp:inline>
        </w:drawing>
      </w:r>
    </w:p>
    <w:p w14:paraId="378F496B" w14:textId="77777777" w:rsidR="001A5456" w:rsidRDefault="001A5456" w:rsidP="004E5DAA">
      <w:pPr>
        <w:rPr>
          <w:lang w:val="fr-CA"/>
        </w:rPr>
      </w:pPr>
    </w:p>
    <w:p w14:paraId="74914835" w14:textId="2B2B4F55" w:rsidR="004F3B26" w:rsidRPr="00CE70F3" w:rsidRDefault="003A0272" w:rsidP="00213661">
      <w:pPr>
        <w:rPr>
          <w:lang w:val="fr-CA"/>
        </w:rPr>
      </w:pPr>
      <w:r w:rsidRPr="00CE70F3">
        <w:rPr>
          <w:lang w:val="fr-CA"/>
        </w:rPr>
        <w:t>Version textuelle</w:t>
      </w:r>
    </w:p>
    <w:p w14:paraId="33FD32FE" w14:textId="77777777" w:rsidR="00623298" w:rsidRPr="00CE70F3" w:rsidRDefault="00623298" w:rsidP="00213661">
      <w:pPr>
        <w:shd w:val="clear" w:color="auto" w:fill="FFFFFF"/>
        <w:rPr>
          <w:rFonts w:eastAsia="Times New Roman" w:cs="Arial"/>
          <w:color w:val="333333"/>
          <w:szCs w:val="24"/>
          <w:lang w:val="fr-CA"/>
        </w:rPr>
      </w:pPr>
      <w:bookmarkStart w:id="59" w:name="SH27"/>
      <w:r w:rsidRPr="00CE70F3">
        <w:rPr>
          <w:rFonts w:cs="Arial"/>
          <w:szCs w:val="24"/>
          <w:lang w:val="fr-CA"/>
        </w:rPr>
        <w:t xml:space="preserve">Le champ </w:t>
      </w:r>
      <w:r w:rsidRPr="00CE70F3">
        <w:rPr>
          <w:rFonts w:eastAsia="Times New Roman" w:cs="Arial"/>
          <w:color w:val="333333"/>
          <w:szCs w:val="24"/>
          <w:lang w:val="fr-CA"/>
        </w:rPr>
        <w:t>LIGNE indique 1</w:t>
      </w:r>
    </w:p>
    <w:p w14:paraId="139A0FB2" w14:textId="4607F7D8" w:rsidR="00623298" w:rsidRPr="00CE70F3" w:rsidRDefault="00623298" w:rsidP="00213661">
      <w:pPr>
        <w:shd w:val="clear" w:color="auto" w:fill="FFFFFF"/>
        <w:rPr>
          <w:rFonts w:eastAsia="Times New Roman" w:cs="Arial"/>
          <w:color w:val="333333"/>
          <w:szCs w:val="24"/>
          <w:lang w:val="fr-CA"/>
        </w:rPr>
      </w:pPr>
      <w:r w:rsidRPr="00CE70F3">
        <w:rPr>
          <w:rFonts w:cs="Arial"/>
          <w:szCs w:val="24"/>
          <w:lang w:val="fr-CA"/>
        </w:rPr>
        <w:t xml:space="preserve">Le champ </w:t>
      </w:r>
      <w:r w:rsidRPr="00CE70F3">
        <w:rPr>
          <w:rFonts w:eastAsia="Times New Roman" w:cs="Arial"/>
          <w:color w:val="333333"/>
          <w:szCs w:val="24"/>
          <w:lang w:val="fr-CA"/>
        </w:rPr>
        <w:t>DESIGNATION indique PRODUITS DE VAPOTAGE</w:t>
      </w:r>
    </w:p>
    <w:p w14:paraId="1858D5D7" w14:textId="77777777" w:rsidR="00623298" w:rsidRPr="00CE70F3" w:rsidRDefault="00623298" w:rsidP="00213661">
      <w:pPr>
        <w:shd w:val="clear" w:color="auto" w:fill="FFFFFF"/>
        <w:rPr>
          <w:rFonts w:eastAsia="Times New Roman" w:cs="Arial"/>
          <w:color w:val="333333"/>
          <w:szCs w:val="24"/>
          <w:lang w:val="fr-CA"/>
        </w:rPr>
      </w:pPr>
      <w:r w:rsidRPr="00CE70F3">
        <w:rPr>
          <w:rFonts w:cs="Arial"/>
          <w:szCs w:val="24"/>
          <w:lang w:val="fr-CA"/>
        </w:rPr>
        <w:t>Le champ N° DE CLASSEMENT</w:t>
      </w:r>
      <w:r w:rsidRPr="00CE70F3">
        <w:rPr>
          <w:rFonts w:eastAsia="Times New Roman" w:cs="Arial"/>
          <w:color w:val="333333"/>
          <w:szCs w:val="24"/>
          <w:lang w:val="fr-CA"/>
        </w:rPr>
        <w:t xml:space="preserve"> indique 2404190000</w:t>
      </w:r>
    </w:p>
    <w:p w14:paraId="23105919" w14:textId="77777777" w:rsidR="00623298" w:rsidRPr="00CE70F3" w:rsidRDefault="00623298" w:rsidP="00213661">
      <w:pPr>
        <w:shd w:val="clear" w:color="auto" w:fill="FFFFFF"/>
        <w:rPr>
          <w:rFonts w:eastAsia="Times New Roman" w:cs="Arial"/>
          <w:color w:val="333333"/>
          <w:szCs w:val="24"/>
          <w:lang w:val="fr-CA"/>
        </w:rPr>
      </w:pPr>
      <w:r w:rsidRPr="00CE70F3">
        <w:rPr>
          <w:rFonts w:cs="Arial"/>
          <w:szCs w:val="24"/>
          <w:lang w:val="fr-CA"/>
        </w:rPr>
        <w:t>Le champ QUANTITÉ</w:t>
      </w:r>
      <w:r w:rsidRPr="00CE70F3">
        <w:rPr>
          <w:rFonts w:eastAsia="Times New Roman" w:cs="Arial"/>
          <w:color w:val="333333"/>
          <w:szCs w:val="24"/>
          <w:lang w:val="fr-CA"/>
        </w:rPr>
        <w:t xml:space="preserve"> indique 0.030</w:t>
      </w:r>
    </w:p>
    <w:p w14:paraId="4536CC34" w14:textId="77777777" w:rsidR="00623298" w:rsidRPr="00CE70F3" w:rsidRDefault="00623298" w:rsidP="00213661">
      <w:pPr>
        <w:shd w:val="clear" w:color="auto" w:fill="FFFFFF"/>
        <w:rPr>
          <w:rFonts w:eastAsia="Times New Roman" w:cs="Arial"/>
          <w:color w:val="333333"/>
          <w:szCs w:val="24"/>
          <w:lang w:val="fr-CA"/>
        </w:rPr>
      </w:pPr>
      <w:r w:rsidRPr="00CE70F3">
        <w:rPr>
          <w:rFonts w:cs="Arial"/>
          <w:szCs w:val="24"/>
          <w:lang w:val="fr-CA"/>
        </w:rPr>
        <w:t xml:space="preserve">Le champ </w:t>
      </w:r>
      <w:r w:rsidRPr="00CE70F3">
        <w:rPr>
          <w:rFonts w:eastAsia="Times New Roman" w:cs="Arial"/>
          <w:color w:val="333333"/>
          <w:szCs w:val="24"/>
          <w:lang w:val="fr-CA"/>
        </w:rPr>
        <w:t>U-M indique KGM</w:t>
      </w:r>
    </w:p>
    <w:p w14:paraId="6244C29A" w14:textId="77777777" w:rsidR="00623298" w:rsidRPr="00CE70F3" w:rsidRDefault="00623298" w:rsidP="00213661">
      <w:pPr>
        <w:shd w:val="clear" w:color="auto" w:fill="FFFFFF"/>
        <w:rPr>
          <w:rFonts w:eastAsia="Times New Roman" w:cs="Arial"/>
          <w:color w:val="333333"/>
          <w:szCs w:val="24"/>
          <w:lang w:val="fr-CA"/>
        </w:rPr>
      </w:pPr>
      <w:r w:rsidRPr="00CE70F3">
        <w:rPr>
          <w:rFonts w:cs="Arial"/>
          <w:szCs w:val="24"/>
          <w:lang w:val="fr-CA"/>
        </w:rPr>
        <w:t>Le champ TAUX DE DROIT DE DOUANE</w:t>
      </w:r>
      <w:r w:rsidRPr="00CE70F3">
        <w:rPr>
          <w:rFonts w:eastAsia="Times New Roman" w:cs="Arial"/>
          <w:color w:val="333333"/>
          <w:szCs w:val="24"/>
          <w:lang w:val="fr-CA"/>
        </w:rPr>
        <w:t xml:space="preserve"> indique 0.00000</w:t>
      </w:r>
    </w:p>
    <w:p w14:paraId="02EA7460" w14:textId="77777777" w:rsidR="00623298" w:rsidRPr="00CE70F3" w:rsidRDefault="00623298" w:rsidP="00213661">
      <w:pPr>
        <w:shd w:val="clear" w:color="auto" w:fill="FFFFFF"/>
        <w:rPr>
          <w:rFonts w:eastAsia="Times New Roman" w:cs="Arial"/>
          <w:color w:val="333333"/>
          <w:szCs w:val="24"/>
          <w:lang w:val="fr-CA"/>
        </w:rPr>
      </w:pPr>
      <w:r w:rsidRPr="00CE70F3">
        <w:rPr>
          <w:rFonts w:cs="Arial"/>
          <w:szCs w:val="24"/>
          <w:lang w:val="fr-CA"/>
        </w:rPr>
        <w:t xml:space="preserve">Le champ </w:t>
      </w:r>
      <w:r w:rsidRPr="00CE70F3">
        <w:rPr>
          <w:rFonts w:eastAsia="Times New Roman" w:cs="Arial"/>
          <w:color w:val="333333"/>
          <w:szCs w:val="24"/>
          <w:lang w:val="fr-CA"/>
        </w:rPr>
        <w:t>TAUX T.A. indique 47.00000</w:t>
      </w:r>
    </w:p>
    <w:p w14:paraId="777F45F6" w14:textId="77777777" w:rsidR="00623298" w:rsidRPr="00CE70F3" w:rsidRDefault="00623298" w:rsidP="00213661">
      <w:pPr>
        <w:shd w:val="clear" w:color="auto" w:fill="FFFFFF"/>
        <w:rPr>
          <w:rFonts w:eastAsia="Times New Roman" w:cs="Arial"/>
          <w:color w:val="333333"/>
          <w:szCs w:val="24"/>
          <w:lang w:val="fr-CA"/>
        </w:rPr>
      </w:pPr>
      <w:r w:rsidRPr="00CE70F3">
        <w:rPr>
          <w:rFonts w:cs="Arial"/>
          <w:szCs w:val="24"/>
          <w:lang w:val="fr-CA"/>
        </w:rPr>
        <w:t xml:space="preserve">Le champ </w:t>
      </w:r>
      <w:r w:rsidRPr="00CE70F3">
        <w:rPr>
          <w:rFonts w:eastAsia="Times New Roman" w:cs="Arial"/>
          <w:color w:val="333333"/>
          <w:szCs w:val="24"/>
          <w:lang w:val="fr-CA"/>
        </w:rPr>
        <w:t>TAUX DE TPS indique 5.00</w:t>
      </w:r>
    </w:p>
    <w:p w14:paraId="68ABEC52" w14:textId="77777777" w:rsidR="00623298" w:rsidRPr="00CE70F3" w:rsidRDefault="00623298" w:rsidP="00213661">
      <w:pPr>
        <w:shd w:val="clear" w:color="auto" w:fill="FFFFFF"/>
        <w:rPr>
          <w:rFonts w:eastAsia="Times New Roman" w:cs="Arial"/>
          <w:color w:val="333333"/>
          <w:szCs w:val="24"/>
          <w:lang w:val="fr-CA"/>
        </w:rPr>
      </w:pPr>
      <w:r w:rsidRPr="00CE70F3">
        <w:rPr>
          <w:rFonts w:cs="Arial"/>
          <w:szCs w:val="24"/>
          <w:lang w:val="fr-CA"/>
        </w:rPr>
        <w:t>Le champ CONVERSION VALEUR POUR CHANGE</w:t>
      </w:r>
      <w:r w:rsidRPr="00CE70F3">
        <w:rPr>
          <w:rFonts w:eastAsia="Times New Roman" w:cs="Arial"/>
          <w:color w:val="333333"/>
          <w:szCs w:val="24"/>
          <w:lang w:val="fr-CA"/>
        </w:rPr>
        <w:t xml:space="preserve"> indique 50.00</w:t>
      </w:r>
    </w:p>
    <w:p w14:paraId="26960398" w14:textId="77777777" w:rsidR="00623298" w:rsidRPr="00CE70F3" w:rsidRDefault="00623298" w:rsidP="00213661">
      <w:pPr>
        <w:shd w:val="clear" w:color="auto" w:fill="FFFFFF"/>
        <w:rPr>
          <w:rFonts w:eastAsia="Times New Roman" w:cs="Arial"/>
          <w:color w:val="333333"/>
          <w:szCs w:val="24"/>
          <w:lang w:val="fr-CA"/>
        </w:rPr>
      </w:pPr>
      <w:r w:rsidRPr="00CE70F3">
        <w:rPr>
          <w:rFonts w:cs="Arial"/>
          <w:szCs w:val="24"/>
          <w:lang w:val="fr-CA"/>
        </w:rPr>
        <w:t>Le champ VALEUR EN DOUANE</w:t>
      </w:r>
      <w:r w:rsidRPr="00CE70F3">
        <w:rPr>
          <w:rFonts w:eastAsia="Times New Roman" w:cs="Arial"/>
          <w:color w:val="333333"/>
          <w:szCs w:val="24"/>
          <w:lang w:val="fr-CA"/>
        </w:rPr>
        <w:t xml:space="preserve"> indique 50.00</w:t>
      </w:r>
    </w:p>
    <w:p w14:paraId="6414B715" w14:textId="77777777" w:rsidR="00623298" w:rsidRPr="00CE70F3" w:rsidRDefault="00623298" w:rsidP="00213661">
      <w:pPr>
        <w:shd w:val="clear" w:color="auto" w:fill="FFFFFF"/>
        <w:rPr>
          <w:rFonts w:eastAsia="Times New Roman" w:cs="Arial"/>
          <w:color w:val="333333"/>
          <w:szCs w:val="24"/>
          <w:lang w:val="fr-CA"/>
        </w:rPr>
      </w:pPr>
      <w:r w:rsidRPr="00CE70F3">
        <w:rPr>
          <w:rFonts w:cs="Arial"/>
          <w:szCs w:val="24"/>
          <w:lang w:val="fr-CA"/>
        </w:rPr>
        <w:t>Le champ DROITS DE DOUANE</w:t>
      </w:r>
      <w:r w:rsidRPr="00CE70F3">
        <w:rPr>
          <w:rFonts w:eastAsia="Times New Roman" w:cs="Arial"/>
          <w:color w:val="333333"/>
          <w:szCs w:val="24"/>
          <w:lang w:val="fr-CA"/>
        </w:rPr>
        <w:t xml:space="preserve"> indique 0.00</w:t>
      </w:r>
    </w:p>
    <w:p w14:paraId="09C08ACE" w14:textId="389D48B9" w:rsidR="00623298" w:rsidRPr="00CE70F3" w:rsidRDefault="00623298" w:rsidP="00213661">
      <w:pPr>
        <w:shd w:val="clear" w:color="auto" w:fill="FFFFFF"/>
        <w:rPr>
          <w:rFonts w:eastAsia="Times New Roman" w:cs="Arial"/>
          <w:color w:val="333333"/>
          <w:szCs w:val="24"/>
          <w:lang w:val="fr-CA"/>
        </w:rPr>
      </w:pPr>
      <w:r w:rsidRPr="00CE70F3">
        <w:rPr>
          <w:rFonts w:cs="Arial"/>
          <w:szCs w:val="24"/>
          <w:lang w:val="fr-CA"/>
        </w:rPr>
        <w:t>Le champ TAXE D'ACCISE</w:t>
      </w:r>
      <w:r w:rsidRPr="00CE70F3">
        <w:rPr>
          <w:rFonts w:eastAsia="Times New Roman" w:cs="Arial"/>
          <w:color w:val="333333"/>
          <w:szCs w:val="24"/>
          <w:lang w:val="fr-CA"/>
        </w:rPr>
        <w:t xml:space="preserve"> indique </w:t>
      </w:r>
      <w:r w:rsidR="001A5456" w:rsidRPr="00CE70F3">
        <w:rPr>
          <w:rFonts w:eastAsia="Times New Roman" w:cs="Arial"/>
          <w:color w:val="333333"/>
          <w:szCs w:val="24"/>
          <w:lang w:val="fr-CA"/>
        </w:rPr>
        <w:t>7.84</w:t>
      </w:r>
    </w:p>
    <w:p w14:paraId="3A99C313" w14:textId="59D4CB48" w:rsidR="00623298" w:rsidRPr="00CE70F3" w:rsidRDefault="00623298" w:rsidP="00213661">
      <w:pPr>
        <w:shd w:val="clear" w:color="auto" w:fill="FFFFFF"/>
        <w:rPr>
          <w:rFonts w:eastAsia="Times New Roman" w:cs="Arial"/>
          <w:color w:val="333333"/>
          <w:szCs w:val="24"/>
          <w:lang w:val="fr-CA"/>
        </w:rPr>
      </w:pPr>
      <w:r w:rsidRPr="00CE70F3">
        <w:rPr>
          <w:rFonts w:cs="Arial"/>
          <w:szCs w:val="24"/>
          <w:lang w:val="fr-CA"/>
        </w:rPr>
        <w:t>Le champ VALEUR POUR TAXE</w:t>
      </w:r>
      <w:r w:rsidRPr="00CE70F3">
        <w:rPr>
          <w:rFonts w:eastAsia="Times New Roman" w:cs="Arial"/>
          <w:color w:val="333333"/>
          <w:szCs w:val="24"/>
          <w:lang w:val="fr-CA"/>
        </w:rPr>
        <w:t xml:space="preserve"> indique </w:t>
      </w:r>
      <w:r w:rsidR="001A5456" w:rsidRPr="00CE70F3">
        <w:rPr>
          <w:rFonts w:eastAsia="Times New Roman" w:cs="Arial"/>
          <w:color w:val="333333"/>
          <w:szCs w:val="24"/>
          <w:lang w:val="fr-CA"/>
        </w:rPr>
        <w:t>57.84</w:t>
      </w:r>
    </w:p>
    <w:p w14:paraId="37DD7942" w14:textId="20F12BDB" w:rsidR="00623298" w:rsidRDefault="00623298" w:rsidP="00213661">
      <w:pPr>
        <w:shd w:val="clear" w:color="auto" w:fill="FFFFFF"/>
        <w:rPr>
          <w:rFonts w:eastAsia="Times New Roman" w:cs="Arial"/>
          <w:color w:val="333333"/>
          <w:szCs w:val="24"/>
          <w:lang w:val="fr-CA"/>
        </w:rPr>
      </w:pPr>
      <w:r w:rsidRPr="00CE70F3">
        <w:rPr>
          <w:rFonts w:eastAsia="Times New Roman" w:cs="Arial"/>
          <w:color w:val="333333"/>
          <w:szCs w:val="24"/>
          <w:lang w:val="fr-CA"/>
        </w:rPr>
        <w:t xml:space="preserve">Et </w:t>
      </w:r>
      <w:r w:rsidRPr="00CE70F3">
        <w:rPr>
          <w:rFonts w:cs="Arial"/>
          <w:szCs w:val="24"/>
          <w:lang w:val="fr-CA"/>
        </w:rPr>
        <w:t xml:space="preserve">le champ </w:t>
      </w:r>
      <w:r w:rsidRPr="00CE70F3">
        <w:rPr>
          <w:rFonts w:eastAsia="Times New Roman" w:cs="Arial"/>
          <w:color w:val="333333"/>
          <w:szCs w:val="24"/>
          <w:lang w:val="fr-CA"/>
        </w:rPr>
        <w:t xml:space="preserve">TPS indique </w:t>
      </w:r>
      <w:r w:rsidR="001A5456" w:rsidRPr="00CE70F3">
        <w:rPr>
          <w:rFonts w:eastAsia="Times New Roman" w:cs="Arial"/>
          <w:color w:val="333333"/>
          <w:szCs w:val="24"/>
          <w:lang w:val="fr-CA"/>
        </w:rPr>
        <w:t>2.89</w:t>
      </w:r>
    </w:p>
    <w:p w14:paraId="21AB4A0B" w14:textId="22A8C3E0" w:rsidR="003B2E83" w:rsidRDefault="004F3B26" w:rsidP="007D6D16">
      <w:pPr>
        <w:pStyle w:val="Heading3"/>
      </w:pPr>
      <w:bookmarkStart w:id="60" w:name="_Déclaration_en_détail_1"/>
      <w:bookmarkEnd w:id="60"/>
      <w:r w:rsidRPr="00121B7A">
        <w:t xml:space="preserve">Déclaration en détail </w:t>
      </w:r>
      <w:r w:rsidR="00F44831">
        <w:t>des marchandises commerciales</w:t>
      </w:r>
      <w:r w:rsidR="00D14570">
        <w:t xml:space="preserve"> </w:t>
      </w:r>
      <w:r w:rsidR="00D676BD">
        <w:t xml:space="preserve">- </w:t>
      </w:r>
      <w:r w:rsidRPr="00E90E70">
        <w:t xml:space="preserve">droit sur le vapotage </w:t>
      </w:r>
      <w:bookmarkEnd w:id="59"/>
      <w:r w:rsidR="00B7672C" w:rsidRPr="00E90E70">
        <w:t>e</w:t>
      </w:r>
      <w:r w:rsidR="00D676BD" w:rsidRPr="00E90E70">
        <w:t>t</w:t>
      </w:r>
      <w:r w:rsidR="00E90E70" w:rsidRPr="00CE70F3">
        <w:t xml:space="preserve"> droit </w:t>
      </w:r>
      <w:r w:rsidR="00B7672C" w:rsidRPr="00D14570">
        <w:t xml:space="preserve">additionnel </w:t>
      </w:r>
      <w:r w:rsidR="00E90E70" w:rsidRPr="00D14570">
        <w:t xml:space="preserve">sur le vapotage </w:t>
      </w:r>
      <w:r w:rsidR="00B7672C" w:rsidRPr="00D14570">
        <w:t>exigibles</w:t>
      </w:r>
      <w:r w:rsidR="00167D47">
        <w:t xml:space="preserve"> </w:t>
      </w:r>
    </w:p>
    <w:p w14:paraId="03EA686B" w14:textId="19B7CF9C" w:rsidR="005E0959" w:rsidRDefault="003C63F9" w:rsidP="00CE70F3">
      <w:pPr>
        <w:rPr>
          <w:rFonts w:eastAsia="Times New Roman" w:cs="Arial"/>
          <w:spacing w:val="3"/>
          <w:szCs w:val="24"/>
          <w:lang w:val="fr-CA" w:bidi="en-US"/>
        </w:rPr>
      </w:pPr>
      <w:r w:rsidRPr="005036DC">
        <w:rPr>
          <w:rFonts w:eastAsia="Times New Roman" w:cs="Arial"/>
          <w:spacing w:val="3"/>
          <w:szCs w:val="24"/>
          <w:lang w:val="fr-CA" w:bidi="en-US"/>
        </w:rPr>
        <w:t xml:space="preserve">84. </w:t>
      </w:r>
      <w:r w:rsidR="005E0959" w:rsidRPr="00CE70F3">
        <w:rPr>
          <w:rFonts w:eastAsia="Times New Roman" w:cs="Arial"/>
          <w:spacing w:val="3"/>
          <w:szCs w:val="24"/>
          <w:highlight w:val="yellow"/>
          <w:lang w:val="fr-CA" w:bidi="en-US"/>
        </w:rPr>
        <w:t xml:space="preserve">Pour tenir compte des produits de vapotage pour lesquels le droit </w:t>
      </w:r>
      <w:r w:rsidR="008A534D">
        <w:rPr>
          <w:rFonts w:eastAsia="Times New Roman" w:cs="Arial"/>
          <w:spacing w:val="3"/>
          <w:szCs w:val="24"/>
          <w:highlight w:val="yellow"/>
          <w:lang w:val="fr-CA" w:bidi="en-US"/>
        </w:rPr>
        <w:t>sur le</w:t>
      </w:r>
      <w:r w:rsidR="005E0959" w:rsidRPr="00CE70F3">
        <w:rPr>
          <w:rFonts w:eastAsia="Times New Roman" w:cs="Arial"/>
          <w:spacing w:val="3"/>
          <w:szCs w:val="24"/>
          <w:highlight w:val="yellow"/>
          <w:lang w:val="fr-CA" w:bidi="en-US"/>
        </w:rPr>
        <w:t xml:space="preserve"> vapotage et le </w:t>
      </w:r>
      <w:r w:rsidR="00F00067" w:rsidRPr="00CE70F3">
        <w:rPr>
          <w:szCs w:val="24"/>
          <w:highlight w:val="yellow"/>
          <w:lang w:val="fr-CA"/>
        </w:rPr>
        <w:t xml:space="preserve">droit </w:t>
      </w:r>
      <w:r w:rsidR="00F00067" w:rsidRPr="00CE70F3">
        <w:rPr>
          <w:rFonts w:eastAsia="Times New Roman" w:cs="Arial"/>
          <w:szCs w:val="24"/>
          <w:highlight w:val="yellow"/>
          <w:lang w:val="fr-CA" w:bidi="en-US"/>
        </w:rPr>
        <w:t>additionnel</w:t>
      </w:r>
      <w:r w:rsidR="00F00067" w:rsidRPr="00CE70F3">
        <w:rPr>
          <w:szCs w:val="24"/>
          <w:highlight w:val="yellow"/>
          <w:lang w:val="fr-CA"/>
        </w:rPr>
        <w:t xml:space="preserve"> sur le vapotage</w:t>
      </w:r>
      <w:r w:rsidR="005E0959" w:rsidRPr="00CE70F3">
        <w:rPr>
          <w:rFonts w:eastAsia="Times New Roman" w:cs="Arial"/>
          <w:spacing w:val="3"/>
          <w:szCs w:val="24"/>
          <w:highlight w:val="yellow"/>
          <w:lang w:val="fr-CA" w:bidi="en-US"/>
        </w:rPr>
        <w:t xml:space="preserve"> sont </w:t>
      </w:r>
      <w:r w:rsidR="00D14570">
        <w:rPr>
          <w:rFonts w:eastAsia="Times New Roman" w:cs="Arial"/>
          <w:spacing w:val="3"/>
          <w:szCs w:val="24"/>
          <w:highlight w:val="yellow"/>
          <w:lang w:val="fr-CA" w:bidi="en-US"/>
        </w:rPr>
        <w:t>exigibles</w:t>
      </w:r>
      <w:r w:rsidR="00D14570" w:rsidRPr="00CE70F3">
        <w:rPr>
          <w:rFonts w:eastAsia="Times New Roman" w:cs="Arial"/>
          <w:spacing w:val="3"/>
          <w:szCs w:val="24"/>
          <w:highlight w:val="yellow"/>
          <w:lang w:val="fr-CA" w:bidi="en-US"/>
        </w:rPr>
        <w:t xml:space="preserve"> </w:t>
      </w:r>
      <w:r w:rsidR="005E0959" w:rsidRPr="00CE70F3">
        <w:rPr>
          <w:rFonts w:eastAsia="Times New Roman" w:cs="Arial"/>
          <w:spacing w:val="3"/>
          <w:szCs w:val="24"/>
          <w:highlight w:val="yellow"/>
          <w:lang w:val="fr-CA" w:bidi="en-US"/>
        </w:rPr>
        <w:t xml:space="preserve">à l'importation, l'importateur doit inscrire le bon numéro de classement tarifaire des marchandises sur une seule ligne et inclure le code de taxe d'accise approprié pour le droit </w:t>
      </w:r>
      <w:r w:rsidR="00E7103D">
        <w:rPr>
          <w:rFonts w:eastAsia="Times New Roman" w:cs="Arial"/>
          <w:spacing w:val="3"/>
          <w:szCs w:val="24"/>
          <w:highlight w:val="yellow"/>
          <w:lang w:val="fr-CA" w:bidi="en-US"/>
        </w:rPr>
        <w:t>sur le</w:t>
      </w:r>
      <w:r w:rsidR="005E0959" w:rsidRPr="00CE70F3">
        <w:rPr>
          <w:rFonts w:eastAsia="Times New Roman" w:cs="Arial"/>
          <w:spacing w:val="3"/>
          <w:szCs w:val="24"/>
          <w:highlight w:val="yellow"/>
          <w:lang w:val="fr-CA" w:bidi="en-US"/>
        </w:rPr>
        <w:t xml:space="preserve"> vapotage dans </w:t>
      </w:r>
      <w:r w:rsidR="001160D9" w:rsidRPr="00CE70F3">
        <w:rPr>
          <w:rFonts w:eastAsia="Times New Roman" w:cs="Arial"/>
          <w:spacing w:val="3"/>
          <w:szCs w:val="24"/>
          <w:highlight w:val="yellow"/>
          <w:lang w:val="fr-CA" w:bidi="en-US"/>
        </w:rPr>
        <w:t xml:space="preserve">le champ </w:t>
      </w:r>
      <w:r w:rsidR="009116C9" w:rsidRPr="00CE70F3">
        <w:rPr>
          <w:rFonts w:eastAsia="Times New Roman" w:cs="Arial"/>
          <w:spacing w:val="3"/>
          <w:szCs w:val="24"/>
          <w:highlight w:val="yellow"/>
          <w:lang w:val="fr-CA" w:bidi="en-US"/>
        </w:rPr>
        <w:t>TAUX T.A.</w:t>
      </w:r>
      <w:r w:rsidR="001160D9" w:rsidRPr="00CE70F3">
        <w:rPr>
          <w:rFonts w:eastAsia="Times New Roman" w:cs="Arial"/>
          <w:spacing w:val="3"/>
          <w:szCs w:val="24"/>
          <w:highlight w:val="yellow"/>
          <w:lang w:val="fr-CA" w:bidi="en-US"/>
        </w:rPr>
        <w:t xml:space="preserve"> (</w:t>
      </w:r>
      <w:r w:rsidR="009116C9" w:rsidRPr="00CE70F3">
        <w:rPr>
          <w:rFonts w:eastAsia="Times New Roman" w:cs="Arial"/>
          <w:spacing w:val="3"/>
          <w:szCs w:val="24"/>
          <w:highlight w:val="yellow"/>
          <w:lang w:val="fr-CA" w:bidi="en-US"/>
        </w:rPr>
        <w:t>champ 34</w:t>
      </w:r>
      <w:r w:rsidR="005E0959" w:rsidRPr="00CE70F3">
        <w:rPr>
          <w:rFonts w:eastAsia="Times New Roman" w:cs="Arial"/>
          <w:spacing w:val="3"/>
          <w:szCs w:val="24"/>
          <w:highlight w:val="yellow"/>
          <w:lang w:val="fr-CA" w:bidi="en-US"/>
        </w:rPr>
        <w:t xml:space="preserve">). Ce code dépend du fait que les marchandises soient un produit de vapotage liquide (ml) ou solide (g) (voir le tableau 1 ci-dessus pour une liste des codes de taxe d'accise applicables lorsque le droit </w:t>
      </w:r>
      <w:r w:rsidR="00D24A65">
        <w:rPr>
          <w:rFonts w:eastAsia="Times New Roman" w:cs="Arial"/>
          <w:spacing w:val="3"/>
          <w:szCs w:val="24"/>
          <w:highlight w:val="yellow"/>
          <w:lang w:val="fr-CA" w:bidi="en-US"/>
        </w:rPr>
        <w:t>sur le</w:t>
      </w:r>
      <w:r w:rsidR="005E0959" w:rsidRPr="00CE70F3">
        <w:rPr>
          <w:rFonts w:eastAsia="Times New Roman" w:cs="Arial"/>
          <w:spacing w:val="3"/>
          <w:szCs w:val="24"/>
          <w:highlight w:val="yellow"/>
          <w:lang w:val="fr-CA" w:bidi="en-US"/>
        </w:rPr>
        <w:t xml:space="preserve"> vapotage est payable). Le montant du droit </w:t>
      </w:r>
      <w:r w:rsidR="00696F8E">
        <w:rPr>
          <w:rFonts w:eastAsia="Times New Roman" w:cs="Arial"/>
          <w:spacing w:val="3"/>
          <w:szCs w:val="24"/>
          <w:highlight w:val="yellow"/>
          <w:lang w:val="fr-CA" w:bidi="en-US"/>
        </w:rPr>
        <w:t>sur le</w:t>
      </w:r>
      <w:r w:rsidR="005E0959" w:rsidRPr="00CE70F3">
        <w:rPr>
          <w:rFonts w:eastAsia="Times New Roman" w:cs="Arial"/>
          <w:spacing w:val="3"/>
          <w:szCs w:val="24"/>
          <w:highlight w:val="yellow"/>
          <w:lang w:val="fr-CA" w:bidi="en-US"/>
        </w:rPr>
        <w:t xml:space="preserve"> vapotage est calculé manuellement et inscrit dans</w:t>
      </w:r>
      <w:r w:rsidR="009116C9" w:rsidRPr="00CE70F3">
        <w:rPr>
          <w:rFonts w:eastAsia="Times New Roman" w:cs="Arial"/>
          <w:spacing w:val="3"/>
          <w:szCs w:val="24"/>
          <w:highlight w:val="yellow"/>
          <w:lang w:val="fr-CA" w:bidi="en-US"/>
        </w:rPr>
        <w:t xml:space="preserve"> </w:t>
      </w:r>
      <w:r w:rsidR="001160D9" w:rsidRPr="00CE70F3">
        <w:rPr>
          <w:rFonts w:eastAsia="Times New Roman" w:cs="Arial"/>
          <w:spacing w:val="3"/>
          <w:szCs w:val="24"/>
          <w:highlight w:val="yellow"/>
          <w:lang w:val="fr-CA" w:bidi="en-US"/>
        </w:rPr>
        <w:t xml:space="preserve">le champ </w:t>
      </w:r>
      <w:r w:rsidR="009116C9" w:rsidRPr="00CE70F3">
        <w:rPr>
          <w:rFonts w:eastAsia="Times New Roman" w:cs="Arial"/>
          <w:spacing w:val="3"/>
          <w:szCs w:val="24"/>
          <w:highlight w:val="yellow"/>
          <w:lang w:val="fr-CA" w:bidi="en-US"/>
        </w:rPr>
        <w:t>TAXE D’ACCISE</w:t>
      </w:r>
      <w:r w:rsidR="005E0959" w:rsidRPr="00CE70F3">
        <w:rPr>
          <w:rFonts w:eastAsia="Times New Roman" w:cs="Arial"/>
          <w:spacing w:val="3"/>
          <w:szCs w:val="24"/>
          <w:highlight w:val="yellow"/>
          <w:lang w:val="fr-CA" w:bidi="en-US"/>
        </w:rPr>
        <w:t xml:space="preserve"> </w:t>
      </w:r>
      <w:r w:rsidR="001160D9" w:rsidRPr="00CE70F3">
        <w:rPr>
          <w:rFonts w:eastAsia="Times New Roman" w:cs="Arial"/>
          <w:spacing w:val="3"/>
          <w:szCs w:val="24"/>
          <w:highlight w:val="yellow"/>
          <w:lang w:val="fr-CA" w:bidi="en-US"/>
        </w:rPr>
        <w:t>(</w:t>
      </w:r>
      <w:r w:rsidR="009116C9" w:rsidRPr="00CE70F3">
        <w:rPr>
          <w:rFonts w:eastAsia="Times New Roman" w:cs="Arial"/>
          <w:spacing w:val="3"/>
          <w:szCs w:val="24"/>
          <w:highlight w:val="yellow"/>
          <w:lang w:val="fr-CA" w:bidi="en-US"/>
        </w:rPr>
        <w:t>champ 40</w:t>
      </w:r>
      <w:r w:rsidR="005E0959" w:rsidRPr="00CE70F3">
        <w:rPr>
          <w:rFonts w:eastAsia="Times New Roman" w:cs="Arial"/>
          <w:spacing w:val="3"/>
          <w:szCs w:val="24"/>
          <w:highlight w:val="yellow"/>
          <w:lang w:val="fr-CA" w:bidi="en-US"/>
        </w:rPr>
        <w:t xml:space="preserve">). Ensuite, pour le </w:t>
      </w:r>
      <w:r w:rsidR="005243D2" w:rsidRPr="00CE70F3">
        <w:rPr>
          <w:rFonts w:cs="Arial"/>
          <w:szCs w:val="24"/>
          <w:highlight w:val="yellow"/>
          <w:lang w:val="fr-CA"/>
        </w:rPr>
        <w:t xml:space="preserve">droit </w:t>
      </w:r>
      <w:r w:rsidR="005243D2" w:rsidRPr="00CE70F3">
        <w:rPr>
          <w:rFonts w:eastAsia="Times New Roman" w:cs="Arial"/>
          <w:szCs w:val="24"/>
          <w:highlight w:val="yellow"/>
          <w:lang w:val="fr-CA" w:bidi="en-US"/>
        </w:rPr>
        <w:t>additionnel</w:t>
      </w:r>
      <w:r w:rsidR="005243D2" w:rsidRPr="00CE70F3">
        <w:rPr>
          <w:rFonts w:cs="Arial"/>
          <w:szCs w:val="24"/>
          <w:highlight w:val="yellow"/>
          <w:lang w:val="fr-CA"/>
        </w:rPr>
        <w:t xml:space="preserve"> sur le vapotage</w:t>
      </w:r>
      <w:r w:rsidR="005E0959" w:rsidRPr="00CE70F3">
        <w:rPr>
          <w:rFonts w:eastAsia="Times New Roman" w:cs="Arial"/>
          <w:spacing w:val="3"/>
          <w:szCs w:val="24"/>
          <w:highlight w:val="yellow"/>
          <w:lang w:val="fr-CA" w:bidi="en-US"/>
        </w:rPr>
        <w:t>, l'importateur doit insérer dans une deuxième ligne, s</w:t>
      </w:r>
      <w:r w:rsidR="0070713E" w:rsidRPr="00CE70F3">
        <w:rPr>
          <w:rFonts w:eastAsia="Times New Roman" w:cs="Arial"/>
          <w:spacing w:val="3"/>
          <w:szCs w:val="24"/>
          <w:highlight w:val="yellow"/>
          <w:lang w:val="fr-CA" w:bidi="en-US"/>
        </w:rPr>
        <w:t>ans ajouter de numéro de ligne au champ LIGNE</w:t>
      </w:r>
      <w:r w:rsidR="005E0959" w:rsidRPr="00CE70F3">
        <w:rPr>
          <w:rFonts w:eastAsia="Times New Roman" w:cs="Arial"/>
          <w:spacing w:val="3"/>
          <w:szCs w:val="24"/>
          <w:highlight w:val="yellow"/>
          <w:lang w:val="fr-CA" w:bidi="en-US"/>
        </w:rPr>
        <w:t xml:space="preserve"> (champ 21), le code administratif approprié (vo</w:t>
      </w:r>
      <w:r w:rsidR="00F6006C" w:rsidRPr="00CE70F3">
        <w:rPr>
          <w:rFonts w:eastAsia="Times New Roman" w:cs="Arial"/>
          <w:spacing w:val="3"/>
          <w:szCs w:val="24"/>
          <w:highlight w:val="yellow"/>
          <w:lang w:val="fr-CA" w:bidi="en-US"/>
        </w:rPr>
        <w:t xml:space="preserve">ir tableau </w:t>
      </w:r>
      <w:r w:rsidR="00345505" w:rsidRPr="00CE70F3">
        <w:rPr>
          <w:rFonts w:eastAsia="Times New Roman" w:cs="Arial"/>
          <w:spacing w:val="3"/>
          <w:szCs w:val="24"/>
          <w:highlight w:val="yellow"/>
          <w:lang w:val="fr-CA" w:bidi="en-US"/>
        </w:rPr>
        <w:t>3</w:t>
      </w:r>
      <w:r w:rsidR="005E0959" w:rsidRPr="00CE70F3">
        <w:rPr>
          <w:rFonts w:eastAsia="Times New Roman" w:cs="Arial"/>
          <w:spacing w:val="3"/>
          <w:szCs w:val="24"/>
          <w:highlight w:val="yellow"/>
          <w:lang w:val="fr-CA" w:bidi="en-US"/>
        </w:rPr>
        <w:t xml:space="preserve"> ci-dessous pour une liste des codes administratifs) pour la province en question dans </w:t>
      </w:r>
      <w:r w:rsidR="001160D9" w:rsidRPr="00CE70F3">
        <w:rPr>
          <w:rFonts w:eastAsia="Times New Roman" w:cs="Arial"/>
          <w:spacing w:val="3"/>
          <w:szCs w:val="24"/>
          <w:highlight w:val="yellow"/>
          <w:lang w:val="fr-CA" w:bidi="en-US"/>
        </w:rPr>
        <w:t xml:space="preserve">le champ </w:t>
      </w:r>
      <w:r w:rsidR="009116C9" w:rsidRPr="00CE70F3">
        <w:rPr>
          <w:rFonts w:eastAsia="Times New Roman" w:cs="Arial"/>
          <w:spacing w:val="3"/>
          <w:szCs w:val="24"/>
          <w:highlight w:val="yellow"/>
          <w:lang w:val="fr-CA" w:bidi="en-US"/>
        </w:rPr>
        <w:t>N</w:t>
      </w:r>
      <w:r w:rsidR="009116C9" w:rsidRPr="00CE70F3">
        <w:rPr>
          <w:rFonts w:eastAsia="Times New Roman" w:cs="Arial"/>
          <w:spacing w:val="3"/>
          <w:szCs w:val="24"/>
          <w:highlight w:val="yellow"/>
          <w:vertAlign w:val="superscript"/>
          <w:lang w:val="fr-CA" w:bidi="en-US"/>
        </w:rPr>
        <w:t>o</w:t>
      </w:r>
      <w:r w:rsidR="009116C9" w:rsidRPr="00CE70F3">
        <w:rPr>
          <w:rFonts w:eastAsia="Times New Roman" w:cs="Arial"/>
          <w:spacing w:val="3"/>
          <w:szCs w:val="24"/>
          <w:highlight w:val="yellow"/>
          <w:lang w:val="fr-CA" w:bidi="en-US"/>
        </w:rPr>
        <w:t xml:space="preserve"> de classement (champ 27</w:t>
      </w:r>
      <w:r w:rsidR="005E0959" w:rsidRPr="00CE70F3">
        <w:rPr>
          <w:rFonts w:eastAsia="Times New Roman" w:cs="Arial"/>
          <w:spacing w:val="3"/>
          <w:szCs w:val="24"/>
          <w:highlight w:val="yellow"/>
          <w:lang w:val="fr-CA" w:bidi="en-US"/>
        </w:rPr>
        <w:t>), et insére</w:t>
      </w:r>
      <w:r w:rsidR="002946AB" w:rsidRPr="00ED6C9F">
        <w:rPr>
          <w:rFonts w:eastAsia="Times New Roman" w:cs="Arial"/>
          <w:spacing w:val="3"/>
          <w:szCs w:val="24"/>
          <w:highlight w:val="yellow"/>
          <w:lang w:val="fr-CA" w:bidi="en-US"/>
        </w:rPr>
        <w:t>r</w:t>
      </w:r>
      <w:r w:rsidR="005E0959" w:rsidRPr="00CE70F3">
        <w:rPr>
          <w:rFonts w:eastAsia="Times New Roman" w:cs="Arial"/>
          <w:spacing w:val="3"/>
          <w:szCs w:val="24"/>
          <w:highlight w:val="yellow"/>
          <w:lang w:val="fr-CA" w:bidi="en-US"/>
        </w:rPr>
        <w:t xml:space="preserve"> le code de taxe d'accise 48 </w:t>
      </w:r>
      <w:r w:rsidR="00345505" w:rsidRPr="00CE70F3">
        <w:rPr>
          <w:rFonts w:eastAsia="Times New Roman" w:cs="Arial"/>
          <w:spacing w:val="3"/>
          <w:szCs w:val="24"/>
          <w:highlight w:val="yellow"/>
          <w:lang w:val="fr-CA" w:bidi="en-US"/>
        </w:rPr>
        <w:t xml:space="preserve">pour le </w:t>
      </w:r>
      <w:r w:rsidR="005243D2" w:rsidRPr="00CE70F3">
        <w:rPr>
          <w:rFonts w:cs="Arial"/>
          <w:szCs w:val="24"/>
          <w:highlight w:val="yellow"/>
          <w:lang w:val="fr-CA"/>
        </w:rPr>
        <w:t xml:space="preserve">droit </w:t>
      </w:r>
      <w:r w:rsidR="005243D2" w:rsidRPr="00CE70F3">
        <w:rPr>
          <w:rFonts w:eastAsia="Times New Roman" w:cs="Arial"/>
          <w:szCs w:val="24"/>
          <w:highlight w:val="yellow"/>
          <w:lang w:val="fr-CA" w:bidi="en-US"/>
        </w:rPr>
        <w:t>additionnel</w:t>
      </w:r>
      <w:r w:rsidR="005243D2" w:rsidRPr="00CE70F3">
        <w:rPr>
          <w:rFonts w:cs="Arial"/>
          <w:szCs w:val="24"/>
          <w:highlight w:val="yellow"/>
          <w:lang w:val="fr-CA"/>
        </w:rPr>
        <w:t xml:space="preserve"> sur le vapotage</w:t>
      </w:r>
      <w:r w:rsidR="00345505" w:rsidRPr="00CE70F3">
        <w:rPr>
          <w:rFonts w:eastAsia="Times New Roman" w:cs="Arial"/>
          <w:spacing w:val="3"/>
          <w:szCs w:val="24"/>
          <w:highlight w:val="yellow"/>
          <w:lang w:val="fr-CA" w:bidi="en-US"/>
        </w:rPr>
        <w:t xml:space="preserve"> (voir tableau 2 ci-dessous) </w:t>
      </w:r>
      <w:r w:rsidR="005E0959" w:rsidRPr="00CE70F3">
        <w:rPr>
          <w:rFonts w:eastAsia="Times New Roman" w:cs="Arial"/>
          <w:spacing w:val="3"/>
          <w:szCs w:val="24"/>
          <w:highlight w:val="yellow"/>
          <w:lang w:val="fr-CA" w:bidi="en-US"/>
        </w:rPr>
        <w:t>dans</w:t>
      </w:r>
      <w:r w:rsidR="001160D9" w:rsidRPr="00CE70F3">
        <w:rPr>
          <w:rFonts w:eastAsia="Times New Roman" w:cs="Arial"/>
          <w:spacing w:val="3"/>
          <w:szCs w:val="24"/>
          <w:highlight w:val="yellow"/>
          <w:lang w:val="fr-CA" w:bidi="en-US"/>
        </w:rPr>
        <w:t xml:space="preserve"> le champ </w:t>
      </w:r>
      <w:r w:rsidR="009116C9" w:rsidRPr="00CE70F3">
        <w:rPr>
          <w:rFonts w:eastAsia="Times New Roman" w:cs="Arial"/>
          <w:spacing w:val="3"/>
          <w:szCs w:val="24"/>
          <w:highlight w:val="yellow"/>
          <w:lang w:val="fr-CA" w:bidi="en-US"/>
        </w:rPr>
        <w:t xml:space="preserve">E.T. Tarif </w:t>
      </w:r>
      <w:r w:rsidR="001160D9" w:rsidRPr="00CE70F3">
        <w:rPr>
          <w:rFonts w:eastAsia="Times New Roman" w:cs="Arial"/>
          <w:spacing w:val="3"/>
          <w:szCs w:val="24"/>
          <w:highlight w:val="yellow"/>
          <w:lang w:val="fr-CA" w:bidi="en-US"/>
        </w:rPr>
        <w:t>(</w:t>
      </w:r>
      <w:r w:rsidR="009116C9" w:rsidRPr="00CE70F3">
        <w:rPr>
          <w:rFonts w:eastAsia="Times New Roman" w:cs="Arial"/>
          <w:spacing w:val="3"/>
          <w:szCs w:val="24"/>
          <w:highlight w:val="yellow"/>
          <w:lang w:val="fr-CA" w:bidi="en-US"/>
        </w:rPr>
        <w:t>champ 34</w:t>
      </w:r>
      <w:r w:rsidR="005E0959" w:rsidRPr="00CE70F3">
        <w:rPr>
          <w:rFonts w:eastAsia="Times New Roman" w:cs="Arial"/>
          <w:spacing w:val="3"/>
          <w:szCs w:val="24"/>
          <w:highlight w:val="yellow"/>
          <w:lang w:val="fr-CA" w:bidi="en-US"/>
        </w:rPr>
        <w:t xml:space="preserve">). </w:t>
      </w:r>
      <w:r w:rsidR="001160D9" w:rsidRPr="00CE70F3">
        <w:rPr>
          <w:rFonts w:eastAsia="Times New Roman" w:cs="Arial"/>
          <w:spacing w:val="3"/>
          <w:szCs w:val="24"/>
          <w:highlight w:val="yellow"/>
          <w:lang w:val="fr-CA" w:bidi="en-US"/>
        </w:rPr>
        <w:t xml:space="preserve">Le champ </w:t>
      </w:r>
      <w:r w:rsidR="009116C9" w:rsidRPr="00CE70F3">
        <w:rPr>
          <w:rFonts w:eastAsia="Times New Roman" w:cs="Arial"/>
          <w:spacing w:val="3"/>
          <w:szCs w:val="24"/>
          <w:highlight w:val="yellow"/>
          <w:lang w:val="fr-CA" w:bidi="en-US"/>
        </w:rPr>
        <w:t xml:space="preserve">Conversion valeur pour change </w:t>
      </w:r>
      <w:r w:rsidR="001160D9" w:rsidRPr="00CE70F3">
        <w:rPr>
          <w:rFonts w:eastAsia="Times New Roman" w:cs="Arial"/>
          <w:spacing w:val="3"/>
          <w:szCs w:val="24"/>
          <w:highlight w:val="yellow"/>
          <w:lang w:val="fr-CA" w:bidi="en-US"/>
        </w:rPr>
        <w:t>(</w:t>
      </w:r>
      <w:r w:rsidR="005E0959" w:rsidRPr="00CE70F3">
        <w:rPr>
          <w:rFonts w:eastAsia="Times New Roman" w:cs="Arial"/>
          <w:spacing w:val="3"/>
          <w:szCs w:val="24"/>
          <w:highlight w:val="yellow"/>
          <w:lang w:val="fr-CA" w:bidi="en-US"/>
        </w:rPr>
        <w:t>champ 3</w:t>
      </w:r>
      <w:r w:rsidR="009116C9" w:rsidRPr="00CE70F3">
        <w:rPr>
          <w:rFonts w:eastAsia="Times New Roman" w:cs="Arial"/>
          <w:spacing w:val="3"/>
          <w:szCs w:val="24"/>
          <w:highlight w:val="yellow"/>
          <w:lang w:val="fr-CA" w:bidi="en-US"/>
        </w:rPr>
        <w:t xml:space="preserve">6) et </w:t>
      </w:r>
      <w:r w:rsidR="001160D9" w:rsidRPr="00CE70F3">
        <w:rPr>
          <w:rFonts w:eastAsia="Times New Roman" w:cs="Arial"/>
          <w:spacing w:val="3"/>
          <w:szCs w:val="24"/>
          <w:highlight w:val="yellow"/>
          <w:lang w:val="fr-CA" w:bidi="en-US"/>
        </w:rPr>
        <w:t xml:space="preserve">le champ </w:t>
      </w:r>
      <w:r w:rsidR="009116C9" w:rsidRPr="00CE70F3">
        <w:rPr>
          <w:rFonts w:eastAsia="Times New Roman" w:cs="Arial"/>
          <w:spacing w:val="3"/>
          <w:szCs w:val="24"/>
          <w:highlight w:val="yellow"/>
          <w:lang w:val="fr-CA" w:bidi="en-US"/>
        </w:rPr>
        <w:t xml:space="preserve">Valeur en douane </w:t>
      </w:r>
      <w:r w:rsidR="001160D9" w:rsidRPr="00CE70F3">
        <w:rPr>
          <w:rFonts w:eastAsia="Times New Roman" w:cs="Arial"/>
          <w:spacing w:val="3"/>
          <w:szCs w:val="24"/>
          <w:highlight w:val="yellow"/>
          <w:lang w:val="fr-CA" w:bidi="en-US"/>
        </w:rPr>
        <w:t>(</w:t>
      </w:r>
      <w:r w:rsidR="009116C9" w:rsidRPr="00CE70F3">
        <w:rPr>
          <w:rFonts w:eastAsia="Times New Roman" w:cs="Arial"/>
          <w:spacing w:val="3"/>
          <w:szCs w:val="24"/>
          <w:highlight w:val="yellow"/>
          <w:lang w:val="fr-CA" w:bidi="en-US"/>
        </w:rPr>
        <w:t>champ 37</w:t>
      </w:r>
      <w:r w:rsidR="005E0959" w:rsidRPr="00CE70F3">
        <w:rPr>
          <w:rFonts w:eastAsia="Times New Roman" w:cs="Arial"/>
          <w:spacing w:val="3"/>
          <w:szCs w:val="24"/>
          <w:highlight w:val="yellow"/>
          <w:lang w:val="fr-CA" w:bidi="en-US"/>
        </w:rPr>
        <w:t xml:space="preserve">) doivent indiquer 0,01. Le montant du </w:t>
      </w:r>
      <w:r w:rsidR="005243D2" w:rsidRPr="00CE70F3">
        <w:rPr>
          <w:rFonts w:cs="Arial"/>
          <w:szCs w:val="24"/>
          <w:highlight w:val="yellow"/>
          <w:lang w:val="fr-CA"/>
        </w:rPr>
        <w:t xml:space="preserve">droit </w:t>
      </w:r>
      <w:r w:rsidR="005243D2" w:rsidRPr="00CE70F3">
        <w:rPr>
          <w:rFonts w:eastAsia="Times New Roman" w:cs="Arial"/>
          <w:szCs w:val="24"/>
          <w:highlight w:val="yellow"/>
          <w:lang w:val="fr-CA" w:bidi="en-US"/>
        </w:rPr>
        <w:t>additionnel</w:t>
      </w:r>
      <w:r w:rsidR="005243D2" w:rsidRPr="00CE70F3">
        <w:rPr>
          <w:rFonts w:cs="Arial"/>
          <w:szCs w:val="24"/>
          <w:highlight w:val="yellow"/>
          <w:lang w:val="fr-CA"/>
        </w:rPr>
        <w:t xml:space="preserve"> sur le vapotage</w:t>
      </w:r>
      <w:r w:rsidR="005E0959" w:rsidRPr="00CE70F3">
        <w:rPr>
          <w:rFonts w:eastAsia="Times New Roman" w:cs="Arial"/>
          <w:spacing w:val="3"/>
          <w:szCs w:val="24"/>
          <w:highlight w:val="yellow"/>
          <w:lang w:val="fr-CA" w:bidi="en-US"/>
        </w:rPr>
        <w:t xml:space="preserve"> est calculé manuellement et inscrit dans </w:t>
      </w:r>
      <w:r w:rsidR="001160D9" w:rsidRPr="00CE70F3">
        <w:rPr>
          <w:rFonts w:eastAsia="Times New Roman" w:cs="Arial"/>
          <w:spacing w:val="3"/>
          <w:szCs w:val="24"/>
          <w:highlight w:val="yellow"/>
          <w:lang w:val="fr-CA" w:bidi="en-US"/>
        </w:rPr>
        <w:t xml:space="preserve">le champ </w:t>
      </w:r>
      <w:r w:rsidR="009116C9" w:rsidRPr="00CE70F3">
        <w:rPr>
          <w:rFonts w:eastAsia="Times New Roman" w:cs="Arial"/>
          <w:spacing w:val="3"/>
          <w:szCs w:val="24"/>
          <w:highlight w:val="yellow"/>
          <w:lang w:val="fr-CA" w:bidi="en-US"/>
        </w:rPr>
        <w:t xml:space="preserve">TAXE D’ACCISE </w:t>
      </w:r>
      <w:r w:rsidR="001160D9" w:rsidRPr="00CE70F3">
        <w:rPr>
          <w:rFonts w:eastAsia="Times New Roman" w:cs="Arial"/>
          <w:spacing w:val="3"/>
          <w:szCs w:val="24"/>
          <w:highlight w:val="yellow"/>
          <w:lang w:val="fr-CA" w:bidi="en-US"/>
        </w:rPr>
        <w:t>(</w:t>
      </w:r>
      <w:r w:rsidR="009116C9" w:rsidRPr="00CE70F3">
        <w:rPr>
          <w:rFonts w:eastAsia="Times New Roman" w:cs="Arial"/>
          <w:spacing w:val="3"/>
          <w:szCs w:val="24"/>
          <w:highlight w:val="yellow"/>
          <w:lang w:val="fr-CA" w:bidi="en-US"/>
        </w:rPr>
        <w:t>champ 40</w:t>
      </w:r>
      <w:r w:rsidR="005E0959" w:rsidRPr="00CE70F3">
        <w:rPr>
          <w:rFonts w:eastAsia="Times New Roman" w:cs="Arial"/>
          <w:spacing w:val="3"/>
          <w:szCs w:val="24"/>
          <w:highlight w:val="yellow"/>
          <w:lang w:val="fr-CA" w:bidi="en-US"/>
        </w:rPr>
        <w:t>), de la deuxième ligne.</w:t>
      </w:r>
    </w:p>
    <w:p w14:paraId="4951AB09" w14:textId="5D1B51CF" w:rsidR="00D43FD2" w:rsidRDefault="00D43FD2" w:rsidP="00AB4C51">
      <w:pPr>
        <w:pStyle w:val="CommentText"/>
        <w:spacing w:line="345" w:lineRule="exact"/>
        <w:rPr>
          <w:rFonts w:eastAsia="Times New Roman" w:cs="Arial"/>
          <w:spacing w:val="3"/>
          <w:sz w:val="24"/>
          <w:szCs w:val="24"/>
          <w:lang w:val="fr-CA" w:bidi="en-US"/>
        </w:rPr>
      </w:pPr>
    </w:p>
    <w:tbl>
      <w:tblPr>
        <w:tblW w:w="0" w:type="auto"/>
        <w:tblInd w:w="13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87"/>
        <w:gridCol w:w="2624"/>
      </w:tblGrid>
      <w:tr w:rsidR="00D43FD2" w:rsidRPr="00CE70F3" w14:paraId="2D16B50B" w14:textId="77777777" w:rsidTr="0058313D">
        <w:trPr>
          <w:trHeight w:val="348"/>
        </w:trPr>
        <w:tc>
          <w:tcPr>
            <w:tcW w:w="8311" w:type="dxa"/>
            <w:gridSpan w:val="2"/>
            <w:shd w:val="clear" w:color="auto" w:fill="D9D9D9"/>
          </w:tcPr>
          <w:p w14:paraId="29EABB0D" w14:textId="2A4157D9" w:rsidR="00D43FD2" w:rsidRPr="00CE70F3" w:rsidRDefault="00D43FD2">
            <w:pPr>
              <w:jc w:val="center"/>
              <w:rPr>
                <w:rFonts w:eastAsia="Times New Roman" w:cs="Arial"/>
                <w:b/>
                <w:szCs w:val="24"/>
                <w:highlight w:val="yellow"/>
                <w:lang w:val="fr-CA" w:bidi="en-US"/>
              </w:rPr>
            </w:pPr>
            <w:r w:rsidRPr="00CE70F3">
              <w:rPr>
                <w:rFonts w:eastAsia="Times New Roman" w:cs="Arial"/>
                <w:b/>
                <w:szCs w:val="24"/>
                <w:highlight w:val="yellow"/>
                <w:lang w:val="fr-CA" w:bidi="en-US"/>
              </w:rPr>
              <w:t xml:space="preserve">Tableau 2 : Code de taxe d'accise </w:t>
            </w:r>
            <w:r w:rsidR="00F44831" w:rsidRPr="00D14570">
              <w:rPr>
                <w:rFonts w:eastAsia="Times New Roman" w:cs="Arial"/>
                <w:b/>
                <w:szCs w:val="24"/>
                <w:highlight w:val="yellow"/>
                <w:lang w:val="fr-CA" w:bidi="en-US"/>
              </w:rPr>
              <w:t>-</w:t>
            </w:r>
            <w:r w:rsidR="00E3010B" w:rsidRPr="00D14570">
              <w:rPr>
                <w:rFonts w:eastAsia="Times New Roman" w:cs="Arial"/>
                <w:b/>
                <w:szCs w:val="24"/>
                <w:highlight w:val="yellow"/>
                <w:lang w:val="fr-CA" w:bidi="en-US"/>
              </w:rPr>
              <w:t xml:space="preserve"> droit </w:t>
            </w:r>
            <w:r w:rsidRPr="00CE70F3">
              <w:rPr>
                <w:rFonts w:eastAsia="Times New Roman" w:cs="Arial"/>
                <w:b/>
                <w:szCs w:val="24"/>
                <w:highlight w:val="yellow"/>
                <w:lang w:val="fr-CA" w:bidi="en-US"/>
              </w:rPr>
              <w:t xml:space="preserve">additionnel </w:t>
            </w:r>
            <w:r w:rsidR="00E3010B" w:rsidRPr="00D14570">
              <w:rPr>
                <w:rFonts w:eastAsia="Times New Roman" w:cs="Arial"/>
                <w:b/>
                <w:szCs w:val="24"/>
                <w:highlight w:val="yellow"/>
                <w:lang w:val="fr-CA" w:bidi="en-US"/>
              </w:rPr>
              <w:t xml:space="preserve">sur le vapotage </w:t>
            </w:r>
            <w:r w:rsidR="00F44831" w:rsidRPr="00CE70F3">
              <w:rPr>
                <w:rFonts w:eastAsia="Times New Roman" w:cs="Arial"/>
                <w:b/>
                <w:szCs w:val="24"/>
                <w:highlight w:val="yellow"/>
                <w:lang w:val="fr-CA" w:bidi="en-US"/>
              </w:rPr>
              <w:t>exigible</w:t>
            </w:r>
          </w:p>
        </w:tc>
      </w:tr>
      <w:tr w:rsidR="00D43FD2" w:rsidRPr="000A5391" w14:paraId="32E823C6" w14:textId="77777777" w:rsidTr="0058313D">
        <w:trPr>
          <w:trHeight w:val="348"/>
        </w:trPr>
        <w:tc>
          <w:tcPr>
            <w:tcW w:w="5687" w:type="dxa"/>
            <w:shd w:val="clear" w:color="auto" w:fill="D9D9D9"/>
          </w:tcPr>
          <w:p w14:paraId="5B2C403C" w14:textId="6918D2EF" w:rsidR="00D43FD2" w:rsidRPr="00CE70F3" w:rsidRDefault="00F44831">
            <w:pPr>
              <w:jc w:val="center"/>
              <w:rPr>
                <w:rFonts w:eastAsia="Times New Roman" w:cs="Arial"/>
                <w:b/>
                <w:szCs w:val="24"/>
                <w:highlight w:val="yellow"/>
                <w:lang w:val="fr-CA" w:bidi="en-US"/>
              </w:rPr>
            </w:pPr>
            <w:r w:rsidRPr="00D14570">
              <w:rPr>
                <w:rFonts w:eastAsia="Times New Roman" w:cs="Arial"/>
                <w:b/>
                <w:szCs w:val="24"/>
                <w:highlight w:val="yellow"/>
                <w:lang w:val="fr-CA" w:bidi="en-US"/>
              </w:rPr>
              <w:t>D</w:t>
            </w:r>
            <w:r w:rsidR="00D43FD2" w:rsidRPr="00CE70F3">
              <w:rPr>
                <w:rFonts w:eastAsia="Times New Roman" w:cs="Arial"/>
                <w:b/>
                <w:szCs w:val="24"/>
                <w:highlight w:val="yellow"/>
                <w:lang w:val="fr-CA" w:bidi="en-US"/>
              </w:rPr>
              <w:t xml:space="preserve">roit additionnel </w:t>
            </w:r>
            <w:r w:rsidR="00E3010B" w:rsidRPr="00D14570">
              <w:rPr>
                <w:rFonts w:eastAsia="Times New Roman" w:cs="Arial"/>
                <w:b/>
                <w:szCs w:val="24"/>
                <w:highlight w:val="yellow"/>
                <w:lang w:val="fr-CA" w:bidi="en-US"/>
              </w:rPr>
              <w:t xml:space="preserve">sur le vapotage </w:t>
            </w:r>
            <w:r w:rsidRPr="00D14570">
              <w:rPr>
                <w:rFonts w:eastAsia="Times New Roman" w:cs="Arial"/>
                <w:b/>
                <w:szCs w:val="24"/>
                <w:highlight w:val="yellow"/>
                <w:lang w:val="fr-CA" w:bidi="en-US"/>
              </w:rPr>
              <w:t>exigible</w:t>
            </w:r>
          </w:p>
        </w:tc>
        <w:tc>
          <w:tcPr>
            <w:tcW w:w="2624" w:type="dxa"/>
            <w:shd w:val="clear" w:color="auto" w:fill="D9D9D9"/>
          </w:tcPr>
          <w:p w14:paraId="4BA92473" w14:textId="477F3A30" w:rsidR="00D43FD2" w:rsidRPr="00CE70F3" w:rsidRDefault="00D43FD2">
            <w:pPr>
              <w:jc w:val="center"/>
              <w:rPr>
                <w:rFonts w:eastAsia="Times New Roman" w:cs="Arial"/>
                <w:b/>
                <w:szCs w:val="24"/>
                <w:highlight w:val="yellow"/>
                <w:lang w:val="en-US" w:bidi="en-US"/>
              </w:rPr>
            </w:pPr>
            <w:r w:rsidRPr="00CE70F3">
              <w:rPr>
                <w:rFonts w:eastAsia="Times New Roman" w:cs="Arial"/>
                <w:b/>
                <w:szCs w:val="24"/>
                <w:highlight w:val="yellow"/>
                <w:lang w:val="en-US" w:bidi="en-US"/>
              </w:rPr>
              <w:t>Code de taxe d’accise</w:t>
            </w:r>
          </w:p>
        </w:tc>
      </w:tr>
      <w:tr w:rsidR="00D43FD2" w:rsidRPr="004D1595" w14:paraId="69330BDE" w14:textId="77777777" w:rsidTr="0058313D">
        <w:trPr>
          <w:trHeight w:val="348"/>
        </w:trPr>
        <w:tc>
          <w:tcPr>
            <w:tcW w:w="5687" w:type="dxa"/>
          </w:tcPr>
          <w:p w14:paraId="0EB12E29" w14:textId="212127BE" w:rsidR="00D43FD2" w:rsidRPr="00CE70F3" w:rsidRDefault="00D43FD2">
            <w:pPr>
              <w:widowControl w:val="0"/>
              <w:autoSpaceDE w:val="0"/>
              <w:autoSpaceDN w:val="0"/>
              <w:spacing w:after="0" w:line="236" w:lineRule="exact"/>
              <w:rPr>
                <w:rFonts w:eastAsia="Times New Roman" w:cs="Arial"/>
                <w:szCs w:val="24"/>
                <w:highlight w:val="yellow"/>
                <w:lang w:val="en-US" w:bidi="en-US"/>
              </w:rPr>
            </w:pPr>
            <w:r w:rsidRPr="00CE70F3">
              <w:rPr>
                <w:rFonts w:eastAsia="Times New Roman" w:cs="Arial"/>
                <w:szCs w:val="24"/>
                <w:highlight w:val="yellow"/>
                <w:lang w:val="en-US" w:bidi="en-US"/>
              </w:rPr>
              <w:t>Provinces ou</w:t>
            </w:r>
            <w:r w:rsidRPr="00CE70F3">
              <w:rPr>
                <w:rFonts w:eastAsia="Times New Roman" w:cs="Arial"/>
                <w:szCs w:val="24"/>
                <w:highlight w:val="yellow"/>
                <w:lang w:val="fr-CA" w:bidi="en-US"/>
              </w:rPr>
              <w:t xml:space="preserve"> territoires déterminés</w:t>
            </w:r>
          </w:p>
        </w:tc>
        <w:tc>
          <w:tcPr>
            <w:tcW w:w="2624" w:type="dxa"/>
          </w:tcPr>
          <w:p w14:paraId="3E449C75" w14:textId="2C3DF383" w:rsidR="00D43FD2" w:rsidRPr="00CE70F3" w:rsidRDefault="00D43FD2" w:rsidP="0058313D">
            <w:pPr>
              <w:widowControl w:val="0"/>
              <w:autoSpaceDE w:val="0"/>
              <w:autoSpaceDN w:val="0"/>
              <w:spacing w:after="0" w:line="236" w:lineRule="exact"/>
              <w:rPr>
                <w:rFonts w:eastAsia="Times New Roman" w:cs="Arial"/>
                <w:szCs w:val="24"/>
                <w:highlight w:val="yellow"/>
                <w:lang w:val="en-US" w:bidi="en-US"/>
              </w:rPr>
            </w:pPr>
            <w:r w:rsidRPr="00CE70F3">
              <w:rPr>
                <w:rFonts w:eastAsia="Times New Roman" w:cs="Arial"/>
                <w:szCs w:val="24"/>
                <w:highlight w:val="yellow"/>
                <w:lang w:val="en-US" w:bidi="en-US"/>
              </w:rPr>
              <w:t>48</w:t>
            </w:r>
          </w:p>
        </w:tc>
      </w:tr>
    </w:tbl>
    <w:p w14:paraId="7C1E4E5C" w14:textId="77777777" w:rsidR="00D43FD2" w:rsidRPr="007377C0" w:rsidRDefault="00D43FD2" w:rsidP="00AB4C51">
      <w:pPr>
        <w:pStyle w:val="CommentText"/>
        <w:spacing w:line="345" w:lineRule="exact"/>
        <w:rPr>
          <w:rFonts w:eastAsia="Times New Roman" w:cs="Arial"/>
          <w:spacing w:val="3"/>
          <w:sz w:val="24"/>
          <w:szCs w:val="24"/>
          <w:lang w:val="fr-CA" w:bidi="en-US"/>
        </w:rPr>
      </w:pPr>
    </w:p>
    <w:p w14:paraId="24FFA9B1" w14:textId="7940DF52" w:rsidR="005E0959" w:rsidRPr="005A115E" w:rsidRDefault="005E0959" w:rsidP="005E0959">
      <w:pPr>
        <w:pStyle w:val="CommentText"/>
        <w:rPr>
          <w:rFonts w:eastAsia="Times New Roman" w:cs="Arial"/>
          <w:sz w:val="24"/>
          <w:szCs w:val="24"/>
          <w:highlight w:val="yellow"/>
          <w:lang w:val="fr-CA" w:bidi="en-US"/>
        </w:rPr>
      </w:pPr>
    </w:p>
    <w:tbl>
      <w:tblPr>
        <w:tblW w:w="0" w:type="auto"/>
        <w:tblInd w:w="13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87"/>
        <w:gridCol w:w="2624"/>
      </w:tblGrid>
      <w:tr w:rsidR="005E0959" w:rsidRPr="00CE70F3" w14:paraId="3166472D" w14:textId="77777777" w:rsidTr="00627DD4">
        <w:trPr>
          <w:trHeight w:val="348"/>
        </w:trPr>
        <w:tc>
          <w:tcPr>
            <w:tcW w:w="8311" w:type="dxa"/>
            <w:gridSpan w:val="2"/>
            <w:shd w:val="clear" w:color="auto" w:fill="D9D9D9"/>
          </w:tcPr>
          <w:p w14:paraId="7F1DB2EE" w14:textId="7DD83B03" w:rsidR="005E0959" w:rsidRPr="00CE70F3" w:rsidRDefault="003C63F9" w:rsidP="00CE70F3">
            <w:pPr>
              <w:jc w:val="center"/>
              <w:rPr>
                <w:rFonts w:eastAsia="Times New Roman" w:cs="Arial"/>
                <w:b/>
                <w:szCs w:val="24"/>
                <w:highlight w:val="yellow"/>
                <w:lang w:val="fr-CA" w:bidi="en-US"/>
              </w:rPr>
            </w:pPr>
            <w:r w:rsidRPr="00CE70F3">
              <w:rPr>
                <w:rFonts w:eastAsia="Times New Roman" w:cs="Arial"/>
                <w:b/>
                <w:szCs w:val="24"/>
                <w:highlight w:val="yellow"/>
                <w:lang w:val="fr-CA" w:bidi="en-US"/>
              </w:rPr>
              <w:t xml:space="preserve">Tableau </w:t>
            </w:r>
            <w:r w:rsidR="007E5C61" w:rsidRPr="00CE70F3">
              <w:rPr>
                <w:rFonts w:eastAsia="Times New Roman" w:cs="Arial"/>
                <w:b/>
                <w:szCs w:val="24"/>
                <w:highlight w:val="yellow"/>
                <w:lang w:val="fr-CA" w:bidi="en-US"/>
              </w:rPr>
              <w:t>3</w:t>
            </w:r>
            <w:r w:rsidRPr="00CE70F3">
              <w:rPr>
                <w:rFonts w:eastAsia="Times New Roman" w:cs="Arial"/>
                <w:b/>
                <w:szCs w:val="24"/>
                <w:highlight w:val="yellow"/>
                <w:lang w:val="fr-CA" w:bidi="en-US"/>
              </w:rPr>
              <w:t xml:space="preserve"> : Codes administratifs - droit additionnel </w:t>
            </w:r>
            <w:r w:rsidR="00D74C4B" w:rsidRPr="00D14570">
              <w:rPr>
                <w:rFonts w:eastAsia="Times New Roman" w:cs="Arial"/>
                <w:b/>
                <w:szCs w:val="24"/>
                <w:highlight w:val="yellow"/>
                <w:lang w:val="fr-CA" w:bidi="en-US"/>
              </w:rPr>
              <w:t xml:space="preserve">sur le vapotage </w:t>
            </w:r>
            <w:r w:rsidR="00F44831" w:rsidRPr="00D14570">
              <w:rPr>
                <w:rFonts w:eastAsia="Times New Roman" w:cs="Arial"/>
                <w:b/>
                <w:szCs w:val="24"/>
                <w:highlight w:val="yellow"/>
                <w:lang w:val="fr-CA" w:bidi="en-US"/>
              </w:rPr>
              <w:t>exigible</w:t>
            </w:r>
          </w:p>
        </w:tc>
      </w:tr>
      <w:tr w:rsidR="005E0959" w:rsidRPr="000A5391" w14:paraId="1C0DB851" w14:textId="77777777" w:rsidTr="00627DD4">
        <w:trPr>
          <w:trHeight w:val="348"/>
        </w:trPr>
        <w:tc>
          <w:tcPr>
            <w:tcW w:w="5687" w:type="dxa"/>
            <w:shd w:val="clear" w:color="auto" w:fill="D9D9D9"/>
          </w:tcPr>
          <w:p w14:paraId="3BC566C9" w14:textId="6B5CE703" w:rsidR="005E0959" w:rsidRPr="00CE70F3" w:rsidRDefault="003C63F9" w:rsidP="00CE70F3">
            <w:pPr>
              <w:jc w:val="center"/>
              <w:rPr>
                <w:rFonts w:eastAsia="Times New Roman" w:cs="Arial"/>
                <w:b/>
                <w:szCs w:val="24"/>
                <w:highlight w:val="yellow"/>
                <w:lang w:val="fr-CA" w:bidi="en-US"/>
              </w:rPr>
            </w:pPr>
            <w:r w:rsidRPr="00CE70F3">
              <w:rPr>
                <w:rFonts w:eastAsia="Times New Roman" w:cs="Arial"/>
                <w:b/>
                <w:szCs w:val="24"/>
                <w:highlight w:val="yellow"/>
                <w:lang w:val="fr-CA" w:bidi="en-US"/>
              </w:rPr>
              <w:t>Province</w:t>
            </w:r>
            <w:r w:rsidR="00AA5346" w:rsidRPr="00CE70F3">
              <w:rPr>
                <w:rFonts w:eastAsia="Times New Roman" w:cs="Arial"/>
                <w:b/>
                <w:szCs w:val="24"/>
                <w:highlight w:val="yellow"/>
                <w:lang w:val="fr-CA" w:bidi="en-US"/>
              </w:rPr>
              <w:t>s</w:t>
            </w:r>
            <w:r w:rsidRPr="00CE70F3">
              <w:rPr>
                <w:rFonts w:eastAsia="Times New Roman" w:cs="Arial"/>
                <w:b/>
                <w:szCs w:val="24"/>
                <w:highlight w:val="yellow"/>
                <w:lang w:val="fr-CA" w:bidi="en-US"/>
              </w:rPr>
              <w:t xml:space="preserve"> ou territoire</w:t>
            </w:r>
            <w:r w:rsidR="00AA5346" w:rsidRPr="00CE70F3">
              <w:rPr>
                <w:rFonts w:eastAsia="Times New Roman" w:cs="Arial"/>
                <w:b/>
                <w:szCs w:val="24"/>
                <w:highlight w:val="yellow"/>
                <w:lang w:val="fr-CA" w:bidi="en-US"/>
              </w:rPr>
              <w:t>s</w:t>
            </w:r>
            <w:r w:rsidRPr="00CE70F3">
              <w:rPr>
                <w:rFonts w:eastAsia="Times New Roman" w:cs="Arial"/>
                <w:b/>
                <w:szCs w:val="24"/>
                <w:highlight w:val="yellow"/>
                <w:lang w:val="fr-CA" w:bidi="en-US"/>
              </w:rPr>
              <w:t xml:space="preserve"> déterminé</w:t>
            </w:r>
            <w:r w:rsidR="00AA5346" w:rsidRPr="00CE70F3">
              <w:rPr>
                <w:rFonts w:eastAsia="Times New Roman" w:cs="Arial"/>
                <w:b/>
                <w:szCs w:val="24"/>
                <w:highlight w:val="yellow"/>
                <w:lang w:val="fr-CA" w:bidi="en-US"/>
              </w:rPr>
              <w:t>s</w:t>
            </w:r>
          </w:p>
        </w:tc>
        <w:tc>
          <w:tcPr>
            <w:tcW w:w="2624" w:type="dxa"/>
            <w:shd w:val="clear" w:color="auto" w:fill="D9D9D9"/>
          </w:tcPr>
          <w:p w14:paraId="1F04F3E7" w14:textId="0EF698C3" w:rsidR="005E0959" w:rsidRPr="00CE70F3" w:rsidRDefault="003C63F9" w:rsidP="00CE70F3">
            <w:pPr>
              <w:jc w:val="center"/>
              <w:rPr>
                <w:rFonts w:eastAsia="Times New Roman" w:cs="Arial"/>
                <w:b/>
                <w:szCs w:val="24"/>
                <w:highlight w:val="yellow"/>
                <w:lang w:val="en-US" w:bidi="en-US"/>
              </w:rPr>
            </w:pPr>
            <w:r w:rsidRPr="00CE70F3">
              <w:rPr>
                <w:rFonts w:eastAsia="Times New Roman" w:cs="Arial"/>
                <w:b/>
                <w:szCs w:val="24"/>
                <w:highlight w:val="yellow"/>
                <w:lang w:val="en-US" w:bidi="en-US"/>
              </w:rPr>
              <w:t>Codes administratifs</w:t>
            </w:r>
          </w:p>
        </w:tc>
      </w:tr>
      <w:tr w:rsidR="005E0959" w:rsidRPr="000A5391" w14:paraId="55BC93F3" w14:textId="77777777" w:rsidTr="00627DD4">
        <w:trPr>
          <w:trHeight w:val="348"/>
        </w:trPr>
        <w:tc>
          <w:tcPr>
            <w:tcW w:w="5687" w:type="dxa"/>
          </w:tcPr>
          <w:p w14:paraId="5564B545" w14:textId="252267B1" w:rsidR="005E0959" w:rsidRPr="00CE70F3" w:rsidRDefault="005E0959" w:rsidP="00627DD4">
            <w:pPr>
              <w:widowControl w:val="0"/>
              <w:autoSpaceDE w:val="0"/>
              <w:autoSpaceDN w:val="0"/>
              <w:spacing w:after="0" w:line="236" w:lineRule="exact"/>
              <w:rPr>
                <w:rFonts w:eastAsia="Times New Roman" w:cs="Arial"/>
                <w:szCs w:val="24"/>
                <w:highlight w:val="yellow"/>
                <w:lang w:val="en-US" w:bidi="en-US"/>
              </w:rPr>
            </w:pPr>
            <w:r w:rsidRPr="00CE70F3">
              <w:rPr>
                <w:rFonts w:eastAsia="Times New Roman" w:cs="Arial"/>
                <w:szCs w:val="24"/>
                <w:highlight w:val="yellow"/>
                <w:lang w:val="en-US" w:bidi="en-US"/>
              </w:rPr>
              <w:t>Ontario</w:t>
            </w:r>
          </w:p>
        </w:tc>
        <w:tc>
          <w:tcPr>
            <w:tcW w:w="2624" w:type="dxa"/>
          </w:tcPr>
          <w:p w14:paraId="138AFA9A" w14:textId="77777777" w:rsidR="005E0959" w:rsidRPr="00CE70F3" w:rsidRDefault="005E0959" w:rsidP="00627DD4">
            <w:pPr>
              <w:widowControl w:val="0"/>
              <w:autoSpaceDE w:val="0"/>
              <w:autoSpaceDN w:val="0"/>
              <w:spacing w:after="0" w:line="236" w:lineRule="exact"/>
              <w:rPr>
                <w:rFonts w:eastAsia="Times New Roman" w:cs="Arial"/>
                <w:szCs w:val="24"/>
                <w:highlight w:val="yellow"/>
                <w:lang w:val="en-US" w:bidi="en-US"/>
              </w:rPr>
            </w:pPr>
            <w:r w:rsidRPr="00CE70F3">
              <w:rPr>
                <w:rFonts w:eastAsia="Times New Roman" w:cs="Arial"/>
                <w:szCs w:val="24"/>
                <w:highlight w:val="yellow"/>
                <w:lang w:val="en-US" w:bidi="en-US"/>
              </w:rPr>
              <w:t>0000999983</w:t>
            </w:r>
          </w:p>
        </w:tc>
      </w:tr>
      <w:tr w:rsidR="005E0959" w:rsidRPr="000A5391" w14:paraId="6DF9BBE8" w14:textId="77777777" w:rsidTr="00627DD4">
        <w:trPr>
          <w:trHeight w:val="348"/>
        </w:trPr>
        <w:tc>
          <w:tcPr>
            <w:tcW w:w="5687" w:type="dxa"/>
          </w:tcPr>
          <w:p w14:paraId="3E84BF59" w14:textId="33F0AF7E" w:rsidR="005E0959" w:rsidRPr="00CE70F3" w:rsidRDefault="005E0959" w:rsidP="00627DD4">
            <w:pPr>
              <w:widowControl w:val="0"/>
              <w:autoSpaceDE w:val="0"/>
              <w:autoSpaceDN w:val="0"/>
              <w:spacing w:after="0" w:line="235" w:lineRule="exact"/>
              <w:rPr>
                <w:rFonts w:eastAsia="Times New Roman" w:cs="Arial"/>
                <w:szCs w:val="24"/>
                <w:highlight w:val="yellow"/>
                <w:lang w:val="en-US" w:bidi="en-US"/>
              </w:rPr>
            </w:pPr>
            <w:r w:rsidRPr="00CE70F3">
              <w:rPr>
                <w:rFonts w:eastAsia="Times New Roman" w:cs="Arial"/>
                <w:szCs w:val="24"/>
                <w:highlight w:val="yellow"/>
                <w:lang w:val="en-US" w:bidi="en-US"/>
              </w:rPr>
              <w:t>Quebec</w:t>
            </w:r>
          </w:p>
        </w:tc>
        <w:tc>
          <w:tcPr>
            <w:tcW w:w="2624" w:type="dxa"/>
          </w:tcPr>
          <w:p w14:paraId="05AD8CA8" w14:textId="77777777" w:rsidR="005E0959" w:rsidRPr="00CE70F3" w:rsidRDefault="005E0959" w:rsidP="00627DD4">
            <w:pPr>
              <w:widowControl w:val="0"/>
              <w:autoSpaceDE w:val="0"/>
              <w:autoSpaceDN w:val="0"/>
              <w:spacing w:after="0" w:line="235" w:lineRule="exact"/>
              <w:rPr>
                <w:rFonts w:eastAsia="Times New Roman" w:cs="Arial"/>
                <w:szCs w:val="24"/>
                <w:highlight w:val="yellow"/>
                <w:lang w:val="en-US" w:bidi="en-US"/>
              </w:rPr>
            </w:pPr>
            <w:r w:rsidRPr="00CE70F3">
              <w:rPr>
                <w:rFonts w:eastAsia="Times New Roman" w:cs="Arial"/>
                <w:szCs w:val="24"/>
                <w:highlight w:val="yellow"/>
                <w:lang w:val="en-US" w:bidi="en-US"/>
              </w:rPr>
              <w:t>0000999984</w:t>
            </w:r>
          </w:p>
        </w:tc>
      </w:tr>
      <w:tr w:rsidR="005E0959" w:rsidRPr="000A5391" w14:paraId="741CB841" w14:textId="77777777" w:rsidTr="00627DD4">
        <w:trPr>
          <w:trHeight w:val="364"/>
        </w:trPr>
        <w:tc>
          <w:tcPr>
            <w:tcW w:w="5687" w:type="dxa"/>
          </w:tcPr>
          <w:p w14:paraId="20AA99EF" w14:textId="343AFE7C" w:rsidR="005E0959" w:rsidRPr="00CE70F3" w:rsidRDefault="00B90B9F" w:rsidP="00627DD4">
            <w:pPr>
              <w:widowControl w:val="0"/>
              <w:autoSpaceDE w:val="0"/>
              <w:autoSpaceDN w:val="0"/>
              <w:spacing w:after="0" w:line="235" w:lineRule="exact"/>
              <w:rPr>
                <w:rFonts w:eastAsia="Times New Roman" w:cs="Arial"/>
                <w:szCs w:val="24"/>
                <w:highlight w:val="yellow"/>
                <w:lang w:val="fr-CA" w:bidi="en-US"/>
              </w:rPr>
            </w:pPr>
            <w:r w:rsidRPr="00CE70F3">
              <w:rPr>
                <w:color w:val="333333"/>
                <w:highlight w:val="yellow"/>
                <w:lang w:val="fr-CA"/>
              </w:rPr>
              <w:t>Territoires du Nord-Ouest et</w:t>
            </w:r>
          </w:p>
        </w:tc>
        <w:tc>
          <w:tcPr>
            <w:tcW w:w="2624" w:type="dxa"/>
          </w:tcPr>
          <w:p w14:paraId="4BE039F8" w14:textId="77777777" w:rsidR="005E0959" w:rsidRPr="00CE70F3" w:rsidRDefault="005E0959" w:rsidP="00627DD4">
            <w:pPr>
              <w:widowControl w:val="0"/>
              <w:autoSpaceDE w:val="0"/>
              <w:autoSpaceDN w:val="0"/>
              <w:spacing w:after="0" w:line="235" w:lineRule="exact"/>
              <w:rPr>
                <w:rFonts w:eastAsia="Times New Roman" w:cs="Arial"/>
                <w:szCs w:val="24"/>
                <w:highlight w:val="yellow"/>
                <w:lang w:val="en-US" w:bidi="en-US"/>
              </w:rPr>
            </w:pPr>
            <w:r w:rsidRPr="00CE70F3">
              <w:rPr>
                <w:rFonts w:eastAsia="Times New Roman" w:cs="Arial"/>
                <w:szCs w:val="24"/>
                <w:highlight w:val="yellow"/>
                <w:lang w:val="en-US" w:bidi="en-US"/>
              </w:rPr>
              <w:t>0000999985</w:t>
            </w:r>
          </w:p>
        </w:tc>
      </w:tr>
      <w:tr w:rsidR="005E0959" w:rsidRPr="000A5391" w14:paraId="0E889E51" w14:textId="77777777" w:rsidTr="00627DD4">
        <w:trPr>
          <w:trHeight w:val="364"/>
        </w:trPr>
        <w:tc>
          <w:tcPr>
            <w:tcW w:w="5687" w:type="dxa"/>
          </w:tcPr>
          <w:p w14:paraId="0CD59BAA" w14:textId="324F33EE" w:rsidR="005E0959" w:rsidRPr="00CE70F3" w:rsidRDefault="005E0959" w:rsidP="00627DD4">
            <w:pPr>
              <w:widowControl w:val="0"/>
              <w:autoSpaceDE w:val="0"/>
              <w:autoSpaceDN w:val="0"/>
              <w:spacing w:after="0" w:line="235" w:lineRule="exact"/>
              <w:rPr>
                <w:rFonts w:eastAsia="Times New Roman" w:cs="Arial"/>
                <w:szCs w:val="24"/>
                <w:highlight w:val="yellow"/>
                <w:lang w:val="en-US" w:bidi="en-US"/>
              </w:rPr>
            </w:pPr>
            <w:r w:rsidRPr="00CE70F3">
              <w:rPr>
                <w:rFonts w:eastAsia="Times New Roman" w:cs="Arial"/>
                <w:szCs w:val="24"/>
                <w:highlight w:val="yellow"/>
                <w:lang w:val="en-US" w:bidi="en-US"/>
              </w:rPr>
              <w:t>Nunavut</w:t>
            </w:r>
          </w:p>
        </w:tc>
        <w:tc>
          <w:tcPr>
            <w:tcW w:w="2624" w:type="dxa"/>
          </w:tcPr>
          <w:p w14:paraId="79C17A95" w14:textId="77777777" w:rsidR="005E0959" w:rsidRPr="00CE70F3" w:rsidRDefault="005E0959" w:rsidP="00627DD4">
            <w:pPr>
              <w:widowControl w:val="0"/>
              <w:autoSpaceDE w:val="0"/>
              <w:autoSpaceDN w:val="0"/>
              <w:spacing w:after="0" w:line="235" w:lineRule="exact"/>
              <w:rPr>
                <w:rFonts w:eastAsia="Times New Roman" w:cs="Arial"/>
                <w:szCs w:val="24"/>
                <w:highlight w:val="yellow"/>
                <w:lang w:val="en-US" w:bidi="en-US"/>
              </w:rPr>
            </w:pPr>
            <w:r w:rsidRPr="00CE70F3">
              <w:rPr>
                <w:rFonts w:eastAsia="Times New Roman" w:cs="Arial"/>
                <w:szCs w:val="24"/>
                <w:highlight w:val="yellow"/>
                <w:lang w:val="en-US" w:bidi="en-US"/>
              </w:rPr>
              <w:t>0000999986</w:t>
            </w:r>
          </w:p>
        </w:tc>
      </w:tr>
    </w:tbl>
    <w:p w14:paraId="2A2E4A64" w14:textId="0AD38853" w:rsidR="005E0959" w:rsidRPr="004D1595" w:rsidRDefault="005E0959" w:rsidP="005E0959">
      <w:pPr>
        <w:pStyle w:val="CommentText"/>
        <w:rPr>
          <w:sz w:val="24"/>
          <w:szCs w:val="24"/>
          <w:highlight w:val="magenta"/>
        </w:rPr>
      </w:pPr>
    </w:p>
    <w:p w14:paraId="7DBE2DA7" w14:textId="729B2AA0" w:rsidR="005E0959" w:rsidRPr="005A0832" w:rsidRDefault="005A0832" w:rsidP="005E0959">
      <w:pPr>
        <w:rPr>
          <w:b/>
          <w:lang w:val="fr-CA" w:eastAsia="en-CA" w:bidi="en-US"/>
        </w:rPr>
      </w:pPr>
      <w:r w:rsidRPr="00870256">
        <w:rPr>
          <w:b/>
          <w:highlight w:val="yellow"/>
          <w:lang w:val="fr-CA" w:eastAsia="en-CA" w:bidi="en-US"/>
        </w:rPr>
        <w:t>Exemple 2</w:t>
      </w:r>
    </w:p>
    <w:p w14:paraId="01F7E195" w14:textId="7D6685A3" w:rsidR="00F9685C" w:rsidRDefault="007C30E3" w:rsidP="005E0959">
      <w:pPr>
        <w:rPr>
          <w:lang w:val="fr-CA" w:eastAsia="en-CA" w:bidi="en-US"/>
        </w:rPr>
      </w:pPr>
      <w:r>
        <w:rPr>
          <w:noProof/>
          <w:lang w:eastAsia="zh-CN"/>
        </w:rPr>
        <w:drawing>
          <wp:anchor distT="0" distB="0" distL="114300" distR="114300" simplePos="0" relativeHeight="251769856" behindDoc="0" locked="0" layoutInCell="1" allowOverlap="1" wp14:anchorId="198B385B" wp14:editId="4E71A809">
            <wp:simplePos x="0" y="0"/>
            <wp:positionH relativeFrom="margin">
              <wp:align>right</wp:align>
            </wp:positionH>
            <wp:positionV relativeFrom="page">
              <wp:posOffset>4367530</wp:posOffset>
            </wp:positionV>
            <wp:extent cx="7103745" cy="1802765"/>
            <wp:effectExtent l="0" t="0" r="1905" b="698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7103745" cy="1802765"/>
                    </a:xfrm>
                    <a:prstGeom prst="rect">
                      <a:avLst/>
                    </a:prstGeom>
                  </pic:spPr>
                </pic:pic>
              </a:graphicData>
            </a:graphic>
          </wp:anchor>
        </w:drawing>
      </w:r>
      <w:r w:rsidR="00DF2503" w:rsidRPr="00CE70F3">
        <w:rPr>
          <w:highlight w:val="yellow"/>
          <w:lang w:val="fr-CA"/>
        </w:rPr>
        <w:t>L'exemple ci-dessous montre l'importation commerciale d'une bouteille de 30 grammes de produits de vapotage solides qui a valeur en douane de 50 $. Les produits de vapotage sont destinés à la consommation, à l'utilisation ou à la vente aux consommateurs de l'Ontario (une province déterminée de vapotage), même si les produits sont importés via une autre province.</w:t>
      </w:r>
    </w:p>
    <w:p w14:paraId="63EEEF12" w14:textId="1CD8E68B" w:rsidR="00924B81" w:rsidRDefault="00924B81" w:rsidP="00236747">
      <w:pPr>
        <w:rPr>
          <w:lang w:val="fr-CA"/>
        </w:rPr>
      </w:pPr>
    </w:p>
    <w:p w14:paraId="5262CAA6" w14:textId="448CE5DB" w:rsidR="00952B85" w:rsidRPr="005970C2" w:rsidRDefault="00952B85" w:rsidP="00236747">
      <w:pPr>
        <w:rPr>
          <w:lang w:val="fr-CA"/>
        </w:rPr>
      </w:pPr>
      <w:r w:rsidRPr="005970C2">
        <w:rPr>
          <w:lang w:val="fr-CA"/>
        </w:rPr>
        <w:t>Version textuelle</w:t>
      </w:r>
    </w:p>
    <w:p w14:paraId="330511A8" w14:textId="2A0468C7" w:rsidR="00952B85" w:rsidRPr="005970C2" w:rsidRDefault="00952B85" w:rsidP="00236747">
      <w:pPr>
        <w:shd w:val="clear" w:color="auto" w:fill="FFFFFF"/>
        <w:rPr>
          <w:rFonts w:eastAsia="Times New Roman" w:cs="Arial"/>
          <w:color w:val="333333"/>
          <w:szCs w:val="24"/>
          <w:lang w:val="fr-CA"/>
        </w:rPr>
      </w:pPr>
      <w:r w:rsidRPr="005970C2">
        <w:rPr>
          <w:rFonts w:cs="Arial"/>
          <w:szCs w:val="24"/>
          <w:lang w:val="fr-CA"/>
        </w:rPr>
        <w:t xml:space="preserve">Le champ </w:t>
      </w:r>
      <w:r w:rsidRPr="005970C2">
        <w:rPr>
          <w:rFonts w:eastAsia="Times New Roman" w:cs="Arial"/>
          <w:color w:val="333333"/>
          <w:szCs w:val="24"/>
          <w:lang w:val="fr-CA"/>
        </w:rPr>
        <w:t>LIGNE indique 1</w:t>
      </w:r>
    </w:p>
    <w:p w14:paraId="64831B38" w14:textId="118B0494" w:rsidR="00952B85" w:rsidRPr="005970C2" w:rsidRDefault="00952B85" w:rsidP="00236747">
      <w:pPr>
        <w:shd w:val="clear" w:color="auto" w:fill="FFFFFF"/>
        <w:rPr>
          <w:rFonts w:eastAsia="Times New Roman" w:cs="Arial"/>
          <w:color w:val="333333"/>
          <w:szCs w:val="24"/>
          <w:lang w:val="fr-CA"/>
        </w:rPr>
      </w:pPr>
      <w:r w:rsidRPr="005970C2">
        <w:rPr>
          <w:rFonts w:cs="Arial"/>
          <w:szCs w:val="24"/>
          <w:lang w:val="fr-CA"/>
        </w:rPr>
        <w:t xml:space="preserve">Le champ </w:t>
      </w:r>
      <w:r w:rsidRPr="005970C2">
        <w:rPr>
          <w:rFonts w:eastAsia="Times New Roman" w:cs="Arial"/>
          <w:color w:val="333333"/>
          <w:szCs w:val="24"/>
          <w:lang w:val="fr-CA"/>
        </w:rPr>
        <w:t xml:space="preserve">DESIGNATION indique </w:t>
      </w:r>
      <w:r w:rsidR="00A3228A" w:rsidRPr="005970C2">
        <w:rPr>
          <w:rFonts w:eastAsia="Times New Roman" w:cs="Arial"/>
          <w:color w:val="333333"/>
          <w:szCs w:val="24"/>
          <w:lang w:val="fr-CA"/>
        </w:rPr>
        <w:t>PRODUITS DE VAPOTAGE</w:t>
      </w:r>
    </w:p>
    <w:p w14:paraId="14B80E3C" w14:textId="73FCC37C" w:rsidR="00952B85" w:rsidRPr="005970C2" w:rsidRDefault="00952B85" w:rsidP="00236747">
      <w:pPr>
        <w:shd w:val="clear" w:color="auto" w:fill="FFFFFF"/>
        <w:rPr>
          <w:rFonts w:eastAsia="Times New Roman" w:cs="Arial"/>
          <w:color w:val="333333"/>
          <w:szCs w:val="24"/>
          <w:lang w:val="fr-CA"/>
        </w:rPr>
      </w:pPr>
      <w:r w:rsidRPr="005970C2">
        <w:rPr>
          <w:rFonts w:cs="Arial"/>
          <w:szCs w:val="24"/>
          <w:lang w:val="fr-CA"/>
        </w:rPr>
        <w:t>Le champ N° DE CLASSEMENT</w:t>
      </w:r>
      <w:r w:rsidRPr="005970C2">
        <w:rPr>
          <w:rFonts w:eastAsia="Times New Roman" w:cs="Arial"/>
          <w:color w:val="333333"/>
          <w:szCs w:val="24"/>
          <w:lang w:val="fr-CA"/>
        </w:rPr>
        <w:t xml:space="preserve"> indique 2404190000</w:t>
      </w:r>
    </w:p>
    <w:p w14:paraId="7406D3EF" w14:textId="7523F613" w:rsidR="00952B85" w:rsidRPr="005970C2" w:rsidRDefault="00952B85" w:rsidP="00236747">
      <w:pPr>
        <w:shd w:val="clear" w:color="auto" w:fill="FFFFFF"/>
        <w:rPr>
          <w:rFonts w:eastAsia="Times New Roman" w:cs="Arial"/>
          <w:color w:val="333333"/>
          <w:szCs w:val="24"/>
          <w:lang w:val="fr-CA"/>
        </w:rPr>
      </w:pPr>
      <w:r w:rsidRPr="005970C2">
        <w:rPr>
          <w:rFonts w:cs="Arial"/>
          <w:szCs w:val="24"/>
          <w:lang w:val="fr-CA"/>
        </w:rPr>
        <w:t>Le champ QUANTITÉ</w:t>
      </w:r>
      <w:r w:rsidRPr="005970C2">
        <w:rPr>
          <w:rFonts w:eastAsia="Times New Roman" w:cs="Arial"/>
          <w:color w:val="333333"/>
          <w:szCs w:val="24"/>
          <w:lang w:val="fr-CA"/>
        </w:rPr>
        <w:t xml:space="preserve"> indique 0.030</w:t>
      </w:r>
    </w:p>
    <w:p w14:paraId="44FD643F" w14:textId="31BCEBA0" w:rsidR="00952B85" w:rsidRPr="005970C2" w:rsidRDefault="00952B85" w:rsidP="00236747">
      <w:pPr>
        <w:shd w:val="clear" w:color="auto" w:fill="FFFFFF"/>
        <w:rPr>
          <w:rFonts w:eastAsia="Times New Roman" w:cs="Arial"/>
          <w:color w:val="333333"/>
          <w:szCs w:val="24"/>
          <w:lang w:val="fr-CA"/>
        </w:rPr>
      </w:pPr>
      <w:r w:rsidRPr="005970C2">
        <w:rPr>
          <w:rFonts w:cs="Arial"/>
          <w:szCs w:val="24"/>
          <w:lang w:val="fr-CA"/>
        </w:rPr>
        <w:t xml:space="preserve">Le champ </w:t>
      </w:r>
      <w:r w:rsidRPr="005970C2">
        <w:rPr>
          <w:rFonts w:eastAsia="Times New Roman" w:cs="Arial"/>
          <w:color w:val="333333"/>
          <w:szCs w:val="24"/>
          <w:lang w:val="fr-CA"/>
        </w:rPr>
        <w:t>U-M indique KGM</w:t>
      </w:r>
    </w:p>
    <w:p w14:paraId="47FB986E" w14:textId="63F4026B" w:rsidR="00952B85" w:rsidRPr="005970C2" w:rsidRDefault="00952B85" w:rsidP="00236747">
      <w:pPr>
        <w:shd w:val="clear" w:color="auto" w:fill="FFFFFF"/>
        <w:rPr>
          <w:rFonts w:eastAsia="Times New Roman" w:cs="Arial"/>
          <w:color w:val="333333"/>
          <w:szCs w:val="24"/>
          <w:lang w:val="fr-CA"/>
        </w:rPr>
      </w:pPr>
      <w:r w:rsidRPr="005970C2">
        <w:rPr>
          <w:rFonts w:cs="Arial"/>
          <w:szCs w:val="24"/>
          <w:lang w:val="fr-CA"/>
        </w:rPr>
        <w:t>Le champ TAUX DE DROIT DE DOUANE</w:t>
      </w:r>
      <w:r w:rsidRPr="005970C2">
        <w:rPr>
          <w:rFonts w:eastAsia="Times New Roman" w:cs="Arial"/>
          <w:color w:val="333333"/>
          <w:szCs w:val="24"/>
          <w:lang w:val="fr-CA"/>
        </w:rPr>
        <w:t xml:space="preserve"> indique 0.00000</w:t>
      </w:r>
    </w:p>
    <w:p w14:paraId="1A13A21C" w14:textId="4999CF79" w:rsidR="00952B85" w:rsidRPr="005970C2" w:rsidRDefault="00952B85" w:rsidP="00236747">
      <w:pPr>
        <w:shd w:val="clear" w:color="auto" w:fill="FFFFFF"/>
        <w:rPr>
          <w:rFonts w:eastAsia="Times New Roman" w:cs="Arial"/>
          <w:color w:val="333333"/>
          <w:szCs w:val="24"/>
          <w:lang w:val="fr-CA"/>
        </w:rPr>
      </w:pPr>
      <w:r w:rsidRPr="005970C2">
        <w:rPr>
          <w:rFonts w:cs="Arial"/>
          <w:szCs w:val="24"/>
          <w:lang w:val="fr-CA"/>
        </w:rPr>
        <w:t xml:space="preserve">Le champ </w:t>
      </w:r>
      <w:r w:rsidRPr="005970C2">
        <w:rPr>
          <w:rFonts w:eastAsia="Times New Roman" w:cs="Arial"/>
          <w:color w:val="333333"/>
          <w:szCs w:val="24"/>
          <w:lang w:val="fr-CA"/>
        </w:rPr>
        <w:t>TAUX T.A. indique 47.00000</w:t>
      </w:r>
    </w:p>
    <w:p w14:paraId="7E3EC018" w14:textId="10F449ED" w:rsidR="00952B85" w:rsidRPr="005970C2" w:rsidRDefault="00952B85" w:rsidP="00236747">
      <w:pPr>
        <w:shd w:val="clear" w:color="auto" w:fill="FFFFFF"/>
        <w:rPr>
          <w:rFonts w:eastAsia="Times New Roman" w:cs="Arial"/>
          <w:color w:val="333333"/>
          <w:szCs w:val="24"/>
          <w:lang w:val="fr-CA"/>
        </w:rPr>
      </w:pPr>
      <w:r w:rsidRPr="005970C2">
        <w:rPr>
          <w:rFonts w:cs="Arial"/>
          <w:szCs w:val="24"/>
          <w:lang w:val="fr-CA"/>
        </w:rPr>
        <w:t xml:space="preserve">Le champ </w:t>
      </w:r>
      <w:r w:rsidRPr="005970C2">
        <w:rPr>
          <w:rFonts w:eastAsia="Times New Roman" w:cs="Arial"/>
          <w:color w:val="333333"/>
          <w:szCs w:val="24"/>
          <w:lang w:val="fr-CA"/>
        </w:rPr>
        <w:t>TAUX DE TPS indique 5.00</w:t>
      </w:r>
    </w:p>
    <w:p w14:paraId="485C5433" w14:textId="1A12CF01" w:rsidR="00952B85" w:rsidRPr="005970C2" w:rsidRDefault="00952B85" w:rsidP="00236747">
      <w:pPr>
        <w:shd w:val="clear" w:color="auto" w:fill="FFFFFF"/>
        <w:rPr>
          <w:rFonts w:eastAsia="Times New Roman" w:cs="Arial"/>
          <w:color w:val="333333"/>
          <w:szCs w:val="24"/>
          <w:lang w:val="fr-CA"/>
        </w:rPr>
      </w:pPr>
      <w:r w:rsidRPr="005970C2">
        <w:rPr>
          <w:rFonts w:cs="Arial"/>
          <w:szCs w:val="24"/>
          <w:lang w:val="fr-CA"/>
        </w:rPr>
        <w:t>Le champ CONVERSION VALEUR POUR CHANGE</w:t>
      </w:r>
      <w:r w:rsidRPr="005970C2">
        <w:rPr>
          <w:rFonts w:eastAsia="Times New Roman" w:cs="Arial"/>
          <w:color w:val="333333"/>
          <w:szCs w:val="24"/>
          <w:lang w:val="fr-CA"/>
        </w:rPr>
        <w:t xml:space="preserve"> indique 50.00</w:t>
      </w:r>
    </w:p>
    <w:p w14:paraId="19170F8E" w14:textId="374009A5" w:rsidR="00952B85" w:rsidRPr="005970C2" w:rsidRDefault="00952B85" w:rsidP="00236747">
      <w:pPr>
        <w:shd w:val="clear" w:color="auto" w:fill="FFFFFF"/>
        <w:rPr>
          <w:rFonts w:eastAsia="Times New Roman" w:cs="Arial"/>
          <w:color w:val="333333"/>
          <w:szCs w:val="24"/>
          <w:lang w:val="fr-CA"/>
        </w:rPr>
      </w:pPr>
      <w:r w:rsidRPr="005970C2">
        <w:rPr>
          <w:rFonts w:cs="Arial"/>
          <w:szCs w:val="24"/>
          <w:lang w:val="fr-CA"/>
        </w:rPr>
        <w:t>Le champ VALEUR EN DOUANE</w:t>
      </w:r>
      <w:r w:rsidRPr="005970C2">
        <w:rPr>
          <w:rFonts w:eastAsia="Times New Roman" w:cs="Arial"/>
          <w:color w:val="333333"/>
          <w:szCs w:val="24"/>
          <w:lang w:val="fr-CA"/>
        </w:rPr>
        <w:t xml:space="preserve"> indique 50.00</w:t>
      </w:r>
    </w:p>
    <w:p w14:paraId="24BC8B10" w14:textId="1436CD64" w:rsidR="00952B85" w:rsidRPr="005970C2" w:rsidRDefault="00952B85" w:rsidP="00236747">
      <w:pPr>
        <w:shd w:val="clear" w:color="auto" w:fill="FFFFFF"/>
        <w:rPr>
          <w:rFonts w:eastAsia="Times New Roman" w:cs="Arial"/>
          <w:color w:val="333333"/>
          <w:szCs w:val="24"/>
          <w:lang w:val="fr-CA"/>
        </w:rPr>
      </w:pPr>
      <w:r w:rsidRPr="005970C2">
        <w:rPr>
          <w:rFonts w:cs="Arial"/>
          <w:szCs w:val="24"/>
          <w:lang w:val="fr-CA"/>
        </w:rPr>
        <w:t>Le champ DROITS DE DOUANE</w:t>
      </w:r>
      <w:r w:rsidRPr="005970C2">
        <w:rPr>
          <w:rFonts w:eastAsia="Times New Roman" w:cs="Arial"/>
          <w:color w:val="333333"/>
          <w:szCs w:val="24"/>
          <w:lang w:val="fr-CA"/>
        </w:rPr>
        <w:t xml:space="preserve"> indique 0.00</w:t>
      </w:r>
    </w:p>
    <w:p w14:paraId="702F9B6F" w14:textId="77777777" w:rsidR="00952B85" w:rsidRPr="005970C2" w:rsidRDefault="00952B85" w:rsidP="00236747">
      <w:pPr>
        <w:shd w:val="clear" w:color="auto" w:fill="FFFFFF"/>
        <w:rPr>
          <w:rFonts w:eastAsia="Times New Roman" w:cs="Arial"/>
          <w:color w:val="333333"/>
          <w:szCs w:val="24"/>
          <w:lang w:val="fr-CA"/>
        </w:rPr>
      </w:pPr>
      <w:r w:rsidRPr="005970C2">
        <w:rPr>
          <w:rFonts w:cs="Arial"/>
          <w:szCs w:val="24"/>
          <w:lang w:val="fr-CA"/>
        </w:rPr>
        <w:t>Le champ TAXE D'ACCISE</w:t>
      </w:r>
      <w:r w:rsidRPr="005970C2">
        <w:rPr>
          <w:rFonts w:eastAsia="Times New Roman" w:cs="Arial"/>
          <w:color w:val="333333"/>
          <w:szCs w:val="24"/>
          <w:lang w:val="fr-CA"/>
        </w:rPr>
        <w:t xml:space="preserve"> indique 7.84</w:t>
      </w:r>
    </w:p>
    <w:p w14:paraId="6D6ADB1F" w14:textId="77777777" w:rsidR="00952B85" w:rsidRPr="005970C2" w:rsidRDefault="00952B85" w:rsidP="00236747">
      <w:pPr>
        <w:shd w:val="clear" w:color="auto" w:fill="FFFFFF"/>
        <w:rPr>
          <w:rFonts w:eastAsia="Times New Roman" w:cs="Arial"/>
          <w:color w:val="333333"/>
          <w:szCs w:val="24"/>
          <w:lang w:val="fr-CA"/>
        </w:rPr>
      </w:pPr>
      <w:r w:rsidRPr="005970C2">
        <w:rPr>
          <w:rFonts w:cs="Arial"/>
          <w:szCs w:val="24"/>
          <w:lang w:val="fr-CA"/>
        </w:rPr>
        <w:t>Le champ VALEUR POUR TAXE</w:t>
      </w:r>
      <w:r w:rsidRPr="005970C2">
        <w:rPr>
          <w:rFonts w:eastAsia="Times New Roman" w:cs="Arial"/>
          <w:color w:val="333333"/>
          <w:szCs w:val="24"/>
          <w:lang w:val="fr-CA"/>
        </w:rPr>
        <w:t xml:space="preserve"> indique 57.84</w:t>
      </w:r>
    </w:p>
    <w:p w14:paraId="37652062" w14:textId="67B1BD53" w:rsidR="00952B85" w:rsidRPr="005970C2" w:rsidRDefault="00952B85" w:rsidP="00236747">
      <w:pPr>
        <w:shd w:val="clear" w:color="auto" w:fill="FFFFFF"/>
        <w:rPr>
          <w:rFonts w:eastAsia="Times New Roman" w:cs="Arial"/>
          <w:color w:val="333333"/>
          <w:szCs w:val="24"/>
          <w:lang w:val="fr-CA"/>
        </w:rPr>
      </w:pPr>
      <w:r w:rsidRPr="005970C2">
        <w:rPr>
          <w:rFonts w:eastAsia="Times New Roman" w:cs="Arial"/>
          <w:color w:val="333333"/>
          <w:szCs w:val="24"/>
          <w:lang w:val="fr-CA"/>
        </w:rPr>
        <w:t xml:space="preserve">Et </w:t>
      </w:r>
      <w:r w:rsidRPr="005970C2">
        <w:rPr>
          <w:rFonts w:cs="Arial"/>
          <w:szCs w:val="24"/>
          <w:lang w:val="fr-CA"/>
        </w:rPr>
        <w:t xml:space="preserve">le champ </w:t>
      </w:r>
      <w:r w:rsidRPr="005970C2">
        <w:rPr>
          <w:rFonts w:eastAsia="Times New Roman" w:cs="Arial"/>
          <w:color w:val="333333"/>
          <w:szCs w:val="24"/>
          <w:lang w:val="fr-CA"/>
        </w:rPr>
        <w:t>TPS indique 2.89</w:t>
      </w:r>
    </w:p>
    <w:p w14:paraId="28B90760" w14:textId="5D5CA8C4" w:rsidR="00952B85" w:rsidRPr="005970C2" w:rsidRDefault="00952B85" w:rsidP="00236747">
      <w:pPr>
        <w:shd w:val="clear" w:color="auto" w:fill="FFFFFF"/>
        <w:rPr>
          <w:rFonts w:eastAsia="Times New Roman" w:cs="Arial"/>
          <w:color w:val="333333"/>
          <w:szCs w:val="24"/>
          <w:lang w:val="fr-CA"/>
        </w:rPr>
      </w:pPr>
    </w:p>
    <w:p w14:paraId="500FA1B6" w14:textId="766C5394" w:rsidR="00952B85" w:rsidRPr="005970C2" w:rsidRDefault="00952B85" w:rsidP="00236747">
      <w:pPr>
        <w:shd w:val="clear" w:color="auto" w:fill="FFFFFF"/>
        <w:rPr>
          <w:rFonts w:eastAsia="Times New Roman" w:cs="Arial"/>
          <w:color w:val="333333"/>
          <w:szCs w:val="24"/>
          <w:lang w:val="fr-CA"/>
        </w:rPr>
      </w:pPr>
      <w:r w:rsidRPr="005970C2">
        <w:rPr>
          <w:rFonts w:cs="Arial"/>
          <w:szCs w:val="24"/>
          <w:lang w:val="fr-CA"/>
        </w:rPr>
        <w:t xml:space="preserve">Le champ </w:t>
      </w:r>
      <w:r w:rsidRPr="005970C2">
        <w:rPr>
          <w:rFonts w:eastAsia="Times New Roman" w:cs="Arial"/>
          <w:color w:val="333333"/>
          <w:szCs w:val="24"/>
          <w:lang w:val="fr-CA"/>
        </w:rPr>
        <w:t>LIGNE indique vide</w:t>
      </w:r>
    </w:p>
    <w:p w14:paraId="02BBB670" w14:textId="640EFD96" w:rsidR="00952B85" w:rsidRPr="005970C2" w:rsidRDefault="00952B85" w:rsidP="00236747">
      <w:pPr>
        <w:shd w:val="clear" w:color="auto" w:fill="FFFFFF"/>
        <w:rPr>
          <w:rFonts w:eastAsia="Times New Roman" w:cs="Arial"/>
          <w:color w:val="333333"/>
          <w:szCs w:val="24"/>
          <w:lang w:val="fr-CA"/>
        </w:rPr>
      </w:pPr>
      <w:r w:rsidRPr="005970C2">
        <w:rPr>
          <w:rFonts w:cs="Arial"/>
          <w:szCs w:val="24"/>
          <w:lang w:val="fr-CA"/>
        </w:rPr>
        <w:t xml:space="preserve">Le champ </w:t>
      </w:r>
      <w:r w:rsidRPr="005970C2">
        <w:rPr>
          <w:rFonts w:eastAsia="Times New Roman" w:cs="Arial"/>
          <w:color w:val="333333"/>
          <w:szCs w:val="24"/>
          <w:lang w:val="fr-CA"/>
        </w:rPr>
        <w:t xml:space="preserve">DESIGNATION </w:t>
      </w:r>
      <w:r w:rsidRPr="00D14570">
        <w:rPr>
          <w:rFonts w:eastAsia="Times New Roman" w:cs="Arial"/>
          <w:color w:val="333333"/>
          <w:szCs w:val="24"/>
          <w:lang w:val="fr-CA"/>
        </w:rPr>
        <w:t xml:space="preserve">indique </w:t>
      </w:r>
      <w:r w:rsidR="00242826" w:rsidRPr="00CE70F3">
        <w:rPr>
          <w:rFonts w:cs="Arial"/>
          <w:szCs w:val="24"/>
          <w:lang w:val="fr-CA"/>
        </w:rPr>
        <w:t xml:space="preserve">Droit </w:t>
      </w:r>
      <w:r w:rsidR="00242826" w:rsidRPr="00CE70F3">
        <w:rPr>
          <w:rFonts w:eastAsia="Times New Roman" w:cs="Arial"/>
          <w:szCs w:val="24"/>
          <w:lang w:val="fr-CA" w:bidi="en-US"/>
        </w:rPr>
        <w:t>additionnel</w:t>
      </w:r>
      <w:r w:rsidR="00242826" w:rsidRPr="00CE70F3">
        <w:rPr>
          <w:rFonts w:cs="Arial"/>
          <w:szCs w:val="24"/>
          <w:lang w:val="fr-CA"/>
        </w:rPr>
        <w:t xml:space="preserve"> sur le vapotage</w:t>
      </w:r>
      <w:r w:rsidRPr="005970C2">
        <w:rPr>
          <w:rFonts w:eastAsia="Times New Roman" w:cs="Arial"/>
          <w:color w:val="333333"/>
          <w:szCs w:val="24"/>
          <w:lang w:val="fr-CA"/>
        </w:rPr>
        <w:t xml:space="preserve"> </w:t>
      </w:r>
      <w:r w:rsidR="003476CC">
        <w:rPr>
          <w:rFonts w:eastAsia="Times New Roman" w:cs="Arial"/>
          <w:color w:val="333333"/>
          <w:szCs w:val="24"/>
          <w:lang w:val="fr-CA"/>
        </w:rPr>
        <w:t>–</w:t>
      </w:r>
      <w:r w:rsidRPr="005970C2">
        <w:rPr>
          <w:rFonts w:eastAsia="Times New Roman" w:cs="Arial"/>
          <w:color w:val="333333"/>
          <w:szCs w:val="24"/>
          <w:lang w:val="fr-CA"/>
        </w:rPr>
        <w:t xml:space="preserve"> </w:t>
      </w:r>
      <w:r w:rsidR="003476CC">
        <w:rPr>
          <w:rFonts w:eastAsia="Times New Roman" w:cs="Arial"/>
          <w:color w:val="333333"/>
          <w:szCs w:val="24"/>
          <w:lang w:val="fr-CA"/>
        </w:rPr>
        <w:t>ON (</w:t>
      </w:r>
      <w:r w:rsidRPr="005970C2">
        <w:rPr>
          <w:rFonts w:eastAsia="Times New Roman" w:cs="Arial"/>
          <w:color w:val="333333"/>
          <w:szCs w:val="24"/>
          <w:lang w:val="fr-CA"/>
        </w:rPr>
        <w:t>Ontario</w:t>
      </w:r>
      <w:r w:rsidR="003476CC">
        <w:rPr>
          <w:rFonts w:eastAsia="Times New Roman" w:cs="Arial"/>
          <w:color w:val="333333"/>
          <w:szCs w:val="24"/>
          <w:lang w:val="fr-CA"/>
        </w:rPr>
        <w:t>)</w:t>
      </w:r>
    </w:p>
    <w:p w14:paraId="765288B4" w14:textId="54BF0A1A" w:rsidR="00952B85" w:rsidRPr="0058313D" w:rsidRDefault="00952B85" w:rsidP="00236747">
      <w:pPr>
        <w:shd w:val="clear" w:color="auto" w:fill="FFFFFF"/>
        <w:rPr>
          <w:rFonts w:eastAsia="Times New Roman" w:cs="Arial"/>
          <w:color w:val="333333"/>
          <w:szCs w:val="24"/>
          <w:lang w:val="fr-CA"/>
        </w:rPr>
      </w:pPr>
      <w:r w:rsidRPr="0058313D">
        <w:rPr>
          <w:rFonts w:cs="Arial"/>
          <w:szCs w:val="24"/>
          <w:lang w:val="fr-CA"/>
        </w:rPr>
        <w:t>Le champ N° DE CLASSEMENT</w:t>
      </w:r>
      <w:r w:rsidRPr="0058313D">
        <w:rPr>
          <w:rFonts w:eastAsia="Times New Roman" w:cs="Arial"/>
          <w:color w:val="333333"/>
          <w:szCs w:val="24"/>
          <w:lang w:val="fr-CA"/>
        </w:rPr>
        <w:t xml:space="preserve"> indique 0000999983</w:t>
      </w:r>
    </w:p>
    <w:p w14:paraId="76180871" w14:textId="2D05CAD3" w:rsidR="00952B85" w:rsidRPr="0058313D" w:rsidRDefault="00952B85" w:rsidP="00236747">
      <w:pPr>
        <w:shd w:val="clear" w:color="auto" w:fill="FFFFFF"/>
        <w:rPr>
          <w:rFonts w:eastAsia="Times New Roman" w:cs="Arial"/>
          <w:color w:val="333333"/>
          <w:szCs w:val="24"/>
          <w:lang w:val="fr-CA"/>
        </w:rPr>
      </w:pPr>
      <w:r w:rsidRPr="0058313D">
        <w:rPr>
          <w:rFonts w:cs="Arial"/>
          <w:szCs w:val="24"/>
          <w:lang w:val="fr-CA"/>
        </w:rPr>
        <w:t xml:space="preserve">Le champ </w:t>
      </w:r>
      <w:r w:rsidRPr="0058313D">
        <w:rPr>
          <w:rFonts w:eastAsia="Times New Roman" w:cs="Arial"/>
          <w:color w:val="333333"/>
          <w:szCs w:val="24"/>
          <w:lang w:val="fr-CA"/>
        </w:rPr>
        <w:t>TAUX T.A. indique 48.00000</w:t>
      </w:r>
    </w:p>
    <w:p w14:paraId="1308CEF0" w14:textId="77777777" w:rsidR="00952B85" w:rsidRPr="0058313D" w:rsidRDefault="00952B85" w:rsidP="00236747">
      <w:pPr>
        <w:shd w:val="clear" w:color="auto" w:fill="FFFFFF"/>
        <w:rPr>
          <w:rFonts w:eastAsia="Times New Roman" w:cs="Arial"/>
          <w:color w:val="333333"/>
          <w:szCs w:val="24"/>
          <w:lang w:val="fr-CA"/>
        </w:rPr>
      </w:pPr>
      <w:r w:rsidRPr="0058313D">
        <w:rPr>
          <w:rFonts w:cs="Arial"/>
          <w:szCs w:val="24"/>
          <w:lang w:val="fr-CA"/>
        </w:rPr>
        <w:t xml:space="preserve">Le champ </w:t>
      </w:r>
      <w:r w:rsidRPr="0058313D">
        <w:rPr>
          <w:rFonts w:eastAsia="Times New Roman" w:cs="Arial"/>
          <w:color w:val="333333"/>
          <w:szCs w:val="24"/>
          <w:lang w:val="fr-CA"/>
        </w:rPr>
        <w:t>TAUX DE TPS indique 5.00</w:t>
      </w:r>
    </w:p>
    <w:p w14:paraId="53F798A4" w14:textId="1206F03C" w:rsidR="00952B85" w:rsidRPr="0058313D" w:rsidRDefault="00952B85" w:rsidP="00236747">
      <w:pPr>
        <w:shd w:val="clear" w:color="auto" w:fill="FFFFFF"/>
        <w:rPr>
          <w:rFonts w:eastAsia="Times New Roman" w:cs="Arial"/>
          <w:color w:val="333333"/>
          <w:szCs w:val="24"/>
          <w:lang w:val="fr-CA"/>
        </w:rPr>
      </w:pPr>
      <w:r w:rsidRPr="0058313D">
        <w:rPr>
          <w:rFonts w:cs="Arial"/>
          <w:szCs w:val="24"/>
          <w:lang w:val="fr-CA"/>
        </w:rPr>
        <w:t>Le champ CONVERSION VALEUR POUR CHANGE</w:t>
      </w:r>
      <w:r w:rsidRPr="0058313D">
        <w:rPr>
          <w:rFonts w:eastAsia="Times New Roman" w:cs="Arial"/>
          <w:color w:val="333333"/>
          <w:szCs w:val="24"/>
          <w:lang w:val="fr-CA"/>
        </w:rPr>
        <w:t xml:space="preserve"> indique 0.01</w:t>
      </w:r>
    </w:p>
    <w:p w14:paraId="5CA7A20B" w14:textId="381A3D46" w:rsidR="00952B85" w:rsidRPr="0058313D" w:rsidRDefault="00952B85" w:rsidP="00236747">
      <w:pPr>
        <w:shd w:val="clear" w:color="auto" w:fill="FFFFFF"/>
        <w:rPr>
          <w:rFonts w:eastAsia="Times New Roman" w:cs="Arial"/>
          <w:color w:val="333333"/>
          <w:szCs w:val="24"/>
          <w:lang w:val="fr-CA"/>
        </w:rPr>
      </w:pPr>
      <w:r w:rsidRPr="0058313D">
        <w:rPr>
          <w:rFonts w:cs="Arial"/>
          <w:szCs w:val="24"/>
          <w:lang w:val="fr-CA"/>
        </w:rPr>
        <w:t>Le champ VALEUR EN DOUANE</w:t>
      </w:r>
      <w:r w:rsidRPr="0058313D">
        <w:rPr>
          <w:rFonts w:eastAsia="Times New Roman" w:cs="Arial"/>
          <w:color w:val="333333"/>
          <w:szCs w:val="24"/>
          <w:lang w:val="fr-CA"/>
        </w:rPr>
        <w:t xml:space="preserve"> indique 0.01</w:t>
      </w:r>
    </w:p>
    <w:p w14:paraId="2600715D" w14:textId="77777777" w:rsidR="00952B85" w:rsidRPr="0058313D" w:rsidRDefault="00952B85" w:rsidP="00236747">
      <w:pPr>
        <w:shd w:val="clear" w:color="auto" w:fill="FFFFFF"/>
        <w:rPr>
          <w:rFonts w:eastAsia="Times New Roman" w:cs="Arial"/>
          <w:color w:val="333333"/>
          <w:szCs w:val="24"/>
          <w:lang w:val="fr-CA"/>
        </w:rPr>
      </w:pPr>
      <w:r w:rsidRPr="0058313D">
        <w:rPr>
          <w:rFonts w:cs="Arial"/>
          <w:szCs w:val="24"/>
          <w:lang w:val="fr-CA"/>
        </w:rPr>
        <w:t>Le champ DROITS DE DOUANE</w:t>
      </w:r>
      <w:r w:rsidRPr="0058313D">
        <w:rPr>
          <w:rFonts w:eastAsia="Times New Roman" w:cs="Arial"/>
          <w:color w:val="333333"/>
          <w:szCs w:val="24"/>
          <w:lang w:val="fr-CA"/>
        </w:rPr>
        <w:t xml:space="preserve"> indique 0.00</w:t>
      </w:r>
    </w:p>
    <w:p w14:paraId="7A09CFCD" w14:textId="77777777" w:rsidR="00952B85" w:rsidRPr="0058313D" w:rsidRDefault="00952B85" w:rsidP="00236747">
      <w:pPr>
        <w:shd w:val="clear" w:color="auto" w:fill="FFFFFF"/>
        <w:rPr>
          <w:rFonts w:eastAsia="Times New Roman" w:cs="Arial"/>
          <w:color w:val="333333"/>
          <w:szCs w:val="24"/>
          <w:lang w:val="fr-CA"/>
        </w:rPr>
      </w:pPr>
      <w:r w:rsidRPr="0058313D">
        <w:rPr>
          <w:rFonts w:cs="Arial"/>
          <w:szCs w:val="24"/>
          <w:lang w:val="fr-CA"/>
        </w:rPr>
        <w:t>Le champ TAXE D'ACCISE</w:t>
      </w:r>
      <w:r w:rsidRPr="0058313D">
        <w:rPr>
          <w:rFonts w:eastAsia="Times New Roman" w:cs="Arial"/>
          <w:color w:val="333333"/>
          <w:szCs w:val="24"/>
          <w:lang w:val="fr-CA"/>
        </w:rPr>
        <w:t xml:space="preserve"> indique 7.84</w:t>
      </w:r>
    </w:p>
    <w:p w14:paraId="6575F590" w14:textId="63F64EFE" w:rsidR="00952B85" w:rsidRPr="0058313D" w:rsidRDefault="00952B85" w:rsidP="00236747">
      <w:pPr>
        <w:shd w:val="clear" w:color="auto" w:fill="FFFFFF"/>
        <w:rPr>
          <w:rFonts w:eastAsia="Times New Roman" w:cs="Arial"/>
          <w:color w:val="333333"/>
          <w:szCs w:val="24"/>
          <w:lang w:val="fr-CA"/>
        </w:rPr>
      </w:pPr>
      <w:r w:rsidRPr="0058313D">
        <w:rPr>
          <w:rFonts w:cs="Arial"/>
          <w:szCs w:val="24"/>
          <w:lang w:val="fr-CA"/>
        </w:rPr>
        <w:t>Le champ VALEUR POUR TAXE</w:t>
      </w:r>
      <w:r w:rsidRPr="0058313D">
        <w:rPr>
          <w:rFonts w:eastAsia="Times New Roman" w:cs="Arial"/>
          <w:color w:val="333333"/>
          <w:szCs w:val="24"/>
          <w:lang w:val="fr-CA"/>
        </w:rPr>
        <w:t xml:space="preserve"> indique 7.84</w:t>
      </w:r>
    </w:p>
    <w:p w14:paraId="795A8C85" w14:textId="61448937" w:rsidR="00952B85" w:rsidRDefault="00952B85" w:rsidP="00236747">
      <w:pPr>
        <w:shd w:val="clear" w:color="auto" w:fill="FFFFFF"/>
        <w:rPr>
          <w:rFonts w:eastAsia="Times New Roman" w:cs="Arial"/>
          <w:color w:val="333333"/>
          <w:szCs w:val="24"/>
          <w:lang w:val="fr-CA"/>
        </w:rPr>
      </w:pPr>
      <w:r w:rsidRPr="0058313D">
        <w:rPr>
          <w:rFonts w:eastAsia="Times New Roman" w:cs="Arial"/>
          <w:color w:val="333333"/>
          <w:szCs w:val="24"/>
          <w:lang w:val="fr-CA"/>
        </w:rPr>
        <w:t xml:space="preserve">Et </w:t>
      </w:r>
      <w:r w:rsidRPr="0058313D">
        <w:rPr>
          <w:rFonts w:cs="Arial"/>
          <w:szCs w:val="24"/>
          <w:lang w:val="fr-CA"/>
        </w:rPr>
        <w:t xml:space="preserve">le champ </w:t>
      </w:r>
      <w:r w:rsidRPr="0058313D">
        <w:rPr>
          <w:rFonts w:eastAsia="Times New Roman" w:cs="Arial"/>
          <w:color w:val="333333"/>
          <w:szCs w:val="24"/>
          <w:lang w:val="fr-CA"/>
        </w:rPr>
        <w:t>TPS indique 0.39</w:t>
      </w:r>
    </w:p>
    <w:p w14:paraId="58EEDE67" w14:textId="32FEA431" w:rsidR="0058313D" w:rsidRPr="00CE70F3" w:rsidRDefault="0058313D" w:rsidP="00C1288C">
      <w:pPr>
        <w:rPr>
          <w:lang w:val="fr-CA"/>
        </w:rPr>
      </w:pPr>
    </w:p>
    <w:bookmarkStart w:id="61" w:name="_Déclaration_en_détail_2"/>
    <w:bookmarkEnd w:id="61"/>
    <w:p w14:paraId="38949FFB" w14:textId="61554290" w:rsidR="006B2515" w:rsidRPr="00CE70F3" w:rsidRDefault="00804A82" w:rsidP="00CE70F3">
      <w:pPr>
        <w:pStyle w:val="Heading3"/>
        <w:rPr>
          <w:rStyle w:val="Hyperlink"/>
          <w:color w:val="auto"/>
          <w:sz w:val="24"/>
          <w:szCs w:val="24"/>
          <w:u w:val="none"/>
        </w:rPr>
      </w:pPr>
      <w:r w:rsidRPr="00CE70F3">
        <w:rPr>
          <w:sz w:val="24"/>
          <w:szCs w:val="24"/>
        </w:rPr>
        <w:fldChar w:fldCharType="begin"/>
      </w:r>
      <w:r w:rsidRPr="00CE70F3">
        <w:rPr>
          <w:sz w:val="24"/>
          <w:szCs w:val="24"/>
        </w:rPr>
        <w:instrText xml:space="preserve"> HYPERLINK \l "SH27" </w:instrText>
      </w:r>
      <w:r w:rsidRPr="00CE70F3">
        <w:rPr>
          <w:sz w:val="24"/>
          <w:szCs w:val="24"/>
        </w:rPr>
        <w:fldChar w:fldCharType="separate"/>
      </w:r>
      <w:r w:rsidR="00C1288C" w:rsidRPr="00CE70F3">
        <w:rPr>
          <w:rStyle w:val="Hyperlink"/>
          <w:color w:val="auto"/>
          <w:sz w:val="24"/>
          <w:szCs w:val="24"/>
          <w:u w:val="none"/>
        </w:rPr>
        <w:t xml:space="preserve">Déclaration en détail </w:t>
      </w:r>
      <w:r w:rsidR="00EB15D6" w:rsidRPr="00CE70F3">
        <w:rPr>
          <w:rStyle w:val="Hyperlink"/>
          <w:color w:val="auto"/>
          <w:sz w:val="24"/>
          <w:szCs w:val="24"/>
          <w:u w:val="none"/>
        </w:rPr>
        <w:t xml:space="preserve">des </w:t>
      </w:r>
      <w:r w:rsidR="00C1288C" w:rsidRPr="00CE70F3">
        <w:rPr>
          <w:rStyle w:val="Hyperlink"/>
          <w:color w:val="auto"/>
          <w:sz w:val="24"/>
          <w:szCs w:val="24"/>
          <w:u w:val="none"/>
        </w:rPr>
        <w:t xml:space="preserve">marchandises commerciales - droit sur le vapotage et droit additionnel </w:t>
      </w:r>
      <w:r w:rsidR="002173BF" w:rsidRPr="00CE70F3">
        <w:rPr>
          <w:rStyle w:val="Hyperlink"/>
          <w:color w:val="auto"/>
          <w:sz w:val="24"/>
          <w:szCs w:val="24"/>
          <w:u w:val="none"/>
        </w:rPr>
        <w:t xml:space="preserve">sur le vapotage </w:t>
      </w:r>
      <w:r w:rsidR="00C1288C" w:rsidRPr="00CE70F3">
        <w:rPr>
          <w:rStyle w:val="Hyperlink"/>
          <w:color w:val="auto"/>
          <w:sz w:val="24"/>
          <w:szCs w:val="24"/>
          <w:u w:val="none"/>
        </w:rPr>
        <w:t>exonérés ou non exigible</w:t>
      </w:r>
      <w:r w:rsidRPr="00CE70F3">
        <w:rPr>
          <w:rStyle w:val="Hyperlink"/>
          <w:color w:val="auto"/>
          <w:sz w:val="24"/>
          <w:szCs w:val="24"/>
          <w:u w:val="none"/>
        </w:rPr>
        <w:fldChar w:fldCharType="end"/>
      </w:r>
      <w:r w:rsidR="00C1288C" w:rsidRPr="00CE70F3">
        <w:rPr>
          <w:rStyle w:val="Hyperlink"/>
          <w:color w:val="auto"/>
          <w:sz w:val="24"/>
          <w:szCs w:val="24"/>
          <w:u w:val="none"/>
        </w:rPr>
        <w:t>s</w:t>
      </w:r>
    </w:p>
    <w:p w14:paraId="2BBE81BA" w14:textId="2E8AD23B" w:rsidR="003B2E83" w:rsidRDefault="00343B76" w:rsidP="004E5DAA">
      <w:pPr>
        <w:rPr>
          <w:lang w:val="fr-CA"/>
        </w:rPr>
      </w:pPr>
      <w:r w:rsidRPr="00CE70F3">
        <w:rPr>
          <w:szCs w:val="24"/>
          <w:lang w:val="fr-CA"/>
        </w:rPr>
        <w:t>85</w:t>
      </w:r>
      <w:r w:rsidR="004F3B26" w:rsidRPr="00CE70F3">
        <w:rPr>
          <w:szCs w:val="24"/>
          <w:lang w:val="fr-CA"/>
        </w:rPr>
        <w:t xml:space="preserve">. </w:t>
      </w:r>
      <w:r w:rsidR="00BB1EC4" w:rsidRPr="00CE70F3">
        <w:rPr>
          <w:szCs w:val="24"/>
          <w:lang w:val="fr-CA"/>
        </w:rPr>
        <w:t xml:space="preserve">Pour déclarer en détail les produits de vapotage où l’importateur ou les marchandises respecte les conditions d’une des exceptions mentionnées plus haut et que le droit </w:t>
      </w:r>
      <w:r w:rsidR="0088178A" w:rsidRPr="00CE70F3">
        <w:rPr>
          <w:szCs w:val="24"/>
          <w:lang w:val="fr-CA"/>
        </w:rPr>
        <w:t>sur le</w:t>
      </w:r>
      <w:r w:rsidR="00BB1EC4" w:rsidRPr="00CE70F3">
        <w:rPr>
          <w:szCs w:val="24"/>
          <w:lang w:val="fr-CA"/>
        </w:rPr>
        <w:t xml:space="preserve"> vapotage n’est pas exigible à l’importation, l’importateur doit inscrire le numéro de classement tarifaire adéquat sur une seule ligne pour les marchandises et inclure le</w:t>
      </w:r>
      <w:r w:rsidR="00BB1EC4" w:rsidRPr="00D676BD">
        <w:rPr>
          <w:lang w:val="fr-CA"/>
        </w:rPr>
        <w:t xml:space="preserve"> code de taxe d’accise approprié dans </w:t>
      </w:r>
      <w:r w:rsidR="00B3710F" w:rsidRPr="00D676BD">
        <w:rPr>
          <w:lang w:val="fr-CA"/>
        </w:rPr>
        <w:t xml:space="preserve">le champ </w:t>
      </w:r>
      <w:r w:rsidR="00D409D4" w:rsidRPr="00D676BD">
        <w:rPr>
          <w:rFonts w:eastAsia="Times New Roman" w:cs="Arial"/>
          <w:spacing w:val="3"/>
          <w:szCs w:val="24"/>
          <w:lang w:val="fr-CA" w:bidi="en-US"/>
        </w:rPr>
        <w:t>TAUX T.A.</w:t>
      </w:r>
      <w:r w:rsidR="00B3710F" w:rsidRPr="00D676BD">
        <w:rPr>
          <w:rFonts w:eastAsia="Times New Roman" w:cs="Arial"/>
          <w:spacing w:val="3"/>
          <w:szCs w:val="24"/>
          <w:lang w:val="fr-CA" w:bidi="en-US"/>
        </w:rPr>
        <w:t xml:space="preserve"> (</w:t>
      </w:r>
      <w:r w:rsidR="00D409D4" w:rsidRPr="00D676BD">
        <w:rPr>
          <w:rFonts w:eastAsia="Times New Roman" w:cs="Arial"/>
          <w:spacing w:val="3"/>
          <w:szCs w:val="24"/>
          <w:lang w:val="fr-CA" w:bidi="en-US"/>
        </w:rPr>
        <w:t>champ 34)</w:t>
      </w:r>
      <w:r w:rsidR="00BB1EC4" w:rsidRPr="00D676BD">
        <w:rPr>
          <w:lang w:val="fr-CA"/>
        </w:rPr>
        <w:t xml:space="preserve">. Ce code est basé sur l’exception étant réclamée et indique pourquoi le droit sur le vapotage n’est pas exigible (voir le tableau </w:t>
      </w:r>
      <w:r w:rsidR="00461FE4" w:rsidRPr="00D676BD">
        <w:rPr>
          <w:lang w:val="fr-CA"/>
        </w:rPr>
        <w:t xml:space="preserve">4 </w:t>
      </w:r>
      <w:r w:rsidR="00BB1EC4" w:rsidRPr="00D676BD">
        <w:rPr>
          <w:lang w:val="fr-CA"/>
        </w:rPr>
        <w:t>ci-dessous pour une liste des codes de taxe d’accise applicables lorsqu’une exception est réclamée). Le montant d</w:t>
      </w:r>
      <w:r w:rsidR="00697F5D">
        <w:rPr>
          <w:lang w:val="fr-CA"/>
        </w:rPr>
        <w:t>u</w:t>
      </w:r>
      <w:r w:rsidR="00BB1EC4" w:rsidRPr="00D676BD">
        <w:rPr>
          <w:lang w:val="fr-CA"/>
        </w:rPr>
        <w:t xml:space="preserve"> droit sur le vapotage est inscrit comme 0$ dans </w:t>
      </w:r>
      <w:r w:rsidR="00B3710F" w:rsidRPr="00D676BD">
        <w:rPr>
          <w:lang w:val="fr-CA"/>
        </w:rPr>
        <w:t xml:space="preserve">le champ </w:t>
      </w:r>
      <w:r w:rsidR="00D409D4" w:rsidRPr="00D676BD">
        <w:rPr>
          <w:rFonts w:eastAsia="Times New Roman" w:cs="Arial"/>
          <w:spacing w:val="3"/>
          <w:szCs w:val="24"/>
          <w:lang w:val="fr-CA" w:bidi="en-US"/>
        </w:rPr>
        <w:t xml:space="preserve">TAXE D’ACCISE </w:t>
      </w:r>
      <w:r w:rsidR="00B3710F" w:rsidRPr="00D676BD">
        <w:rPr>
          <w:rFonts w:eastAsia="Times New Roman" w:cs="Arial"/>
          <w:spacing w:val="3"/>
          <w:szCs w:val="24"/>
          <w:lang w:val="fr-CA" w:bidi="en-US"/>
        </w:rPr>
        <w:t>(</w:t>
      </w:r>
      <w:r w:rsidR="00D409D4" w:rsidRPr="00D676BD">
        <w:rPr>
          <w:rFonts w:eastAsia="Times New Roman" w:cs="Arial"/>
          <w:spacing w:val="3"/>
          <w:szCs w:val="24"/>
          <w:lang w:val="fr-CA" w:bidi="en-US"/>
        </w:rPr>
        <w:t>champ 40)</w:t>
      </w:r>
      <w:r w:rsidR="00BB1EC4" w:rsidRPr="00D676BD">
        <w:rPr>
          <w:lang w:val="fr-CA"/>
        </w:rPr>
        <w:t>.</w:t>
      </w:r>
    </w:p>
    <w:p w14:paraId="631C17DA" w14:textId="1A7CE1B1" w:rsidR="00AB485A" w:rsidRDefault="00AB485A" w:rsidP="004E5DAA">
      <w:pPr>
        <w:rPr>
          <w:lang w:val="fr-CA"/>
        </w:rPr>
      </w:pPr>
    </w:p>
    <w:tbl>
      <w:tblPr>
        <w:tblW w:w="0" w:type="auto"/>
        <w:tblInd w:w="1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88"/>
        <w:gridCol w:w="2403"/>
      </w:tblGrid>
      <w:tr w:rsidR="004F3B26" w:rsidRPr="00CE70F3" w14:paraId="498A574E" w14:textId="77777777" w:rsidTr="00344FF9">
        <w:trPr>
          <w:trHeight w:val="380"/>
        </w:trPr>
        <w:tc>
          <w:tcPr>
            <w:tcW w:w="8091" w:type="dxa"/>
            <w:gridSpan w:val="2"/>
            <w:shd w:val="clear" w:color="auto" w:fill="D9D9D9"/>
          </w:tcPr>
          <w:p w14:paraId="2B1B1892" w14:textId="7410A397" w:rsidR="004F3B26" w:rsidRPr="00EB15D6" w:rsidRDefault="004F3D63" w:rsidP="00EB15D6">
            <w:pPr>
              <w:widowControl w:val="0"/>
              <w:autoSpaceDE w:val="0"/>
              <w:autoSpaceDN w:val="0"/>
              <w:spacing w:before="1" w:after="0" w:line="240" w:lineRule="auto"/>
              <w:rPr>
                <w:rFonts w:eastAsia="Times New Roman" w:cs="Arial"/>
                <w:b/>
                <w:szCs w:val="24"/>
                <w:lang w:val="fr-FR" w:eastAsia="fr-FR" w:bidi="fr-FR"/>
              </w:rPr>
            </w:pPr>
            <w:r w:rsidRPr="00D676BD">
              <w:rPr>
                <w:rFonts w:eastAsia="Times New Roman" w:cs="Arial"/>
                <w:b/>
                <w:szCs w:val="24"/>
                <w:lang w:val="fr-FR" w:eastAsia="fr-FR" w:bidi="fr-FR"/>
              </w:rPr>
              <w:t xml:space="preserve">Tableau </w:t>
            </w:r>
            <w:r w:rsidR="00461FE4" w:rsidRPr="00D676BD">
              <w:rPr>
                <w:rFonts w:eastAsia="Times New Roman" w:cs="Arial"/>
                <w:b/>
                <w:szCs w:val="24"/>
                <w:lang w:val="fr-FR" w:eastAsia="fr-FR" w:bidi="fr-FR"/>
              </w:rPr>
              <w:t>4 </w:t>
            </w:r>
            <w:r w:rsidR="004F3B26" w:rsidRPr="00D676BD">
              <w:rPr>
                <w:rFonts w:eastAsia="Times New Roman" w:cs="Arial"/>
                <w:b/>
                <w:szCs w:val="24"/>
                <w:lang w:val="fr-FR" w:eastAsia="fr-FR" w:bidi="fr-FR"/>
              </w:rPr>
              <w:t xml:space="preserve">: Code de taxe d’accise </w:t>
            </w:r>
            <w:r w:rsidR="00EB15D6">
              <w:rPr>
                <w:rFonts w:eastAsia="Times New Roman" w:cs="Arial"/>
                <w:b/>
                <w:szCs w:val="24"/>
                <w:lang w:val="fr-FR" w:eastAsia="fr-FR" w:bidi="fr-FR"/>
              </w:rPr>
              <w:t>– droit sur le vapotage - exceptions</w:t>
            </w:r>
          </w:p>
        </w:tc>
      </w:tr>
      <w:tr w:rsidR="004F3B26" w:rsidRPr="004F3B26" w14:paraId="127BC9C0" w14:textId="77777777" w:rsidTr="00344FF9">
        <w:trPr>
          <w:trHeight w:val="380"/>
        </w:trPr>
        <w:tc>
          <w:tcPr>
            <w:tcW w:w="5688" w:type="dxa"/>
            <w:shd w:val="clear" w:color="auto" w:fill="D9D9D9"/>
          </w:tcPr>
          <w:p w14:paraId="3E2338A3" w14:textId="42EC7BA2" w:rsidR="004F3B26" w:rsidRPr="00EB15D6" w:rsidRDefault="00EB15D6" w:rsidP="00EB15D6">
            <w:pPr>
              <w:widowControl w:val="0"/>
              <w:autoSpaceDE w:val="0"/>
              <w:autoSpaceDN w:val="0"/>
              <w:spacing w:before="1" w:after="0" w:line="240" w:lineRule="auto"/>
              <w:rPr>
                <w:rFonts w:eastAsia="Times New Roman" w:cs="Arial"/>
                <w:b/>
                <w:szCs w:val="24"/>
                <w:lang w:val="fr-FR" w:eastAsia="fr-FR" w:bidi="fr-FR"/>
              </w:rPr>
            </w:pPr>
            <w:r>
              <w:rPr>
                <w:rFonts w:eastAsia="Times New Roman" w:cs="Arial"/>
                <w:b/>
                <w:szCs w:val="24"/>
                <w:lang w:val="fr-FR" w:eastAsia="fr-FR" w:bidi="fr-FR"/>
              </w:rPr>
              <w:t>E</w:t>
            </w:r>
            <w:r w:rsidRPr="00EB15D6">
              <w:rPr>
                <w:rFonts w:eastAsia="Times New Roman" w:cs="Arial"/>
                <w:b/>
                <w:szCs w:val="24"/>
                <w:lang w:val="fr-FR" w:eastAsia="fr-FR" w:bidi="fr-FR"/>
              </w:rPr>
              <w:t xml:space="preserve">xceptions </w:t>
            </w:r>
            <w:r>
              <w:rPr>
                <w:rFonts w:eastAsia="Times New Roman" w:cs="Arial"/>
                <w:b/>
                <w:szCs w:val="24"/>
                <w:lang w:val="fr-FR" w:eastAsia="fr-FR" w:bidi="fr-FR"/>
              </w:rPr>
              <w:t>- d</w:t>
            </w:r>
            <w:r w:rsidR="004F3B26" w:rsidRPr="00EB15D6">
              <w:rPr>
                <w:rFonts w:eastAsia="Times New Roman" w:cs="Arial"/>
                <w:b/>
                <w:szCs w:val="24"/>
                <w:lang w:val="fr-FR" w:eastAsia="fr-FR" w:bidi="fr-FR"/>
              </w:rPr>
              <w:t>roit</w:t>
            </w:r>
            <w:r w:rsidR="004F3B26" w:rsidRPr="00D676BD">
              <w:rPr>
                <w:rFonts w:eastAsia="Times New Roman" w:cs="Arial"/>
                <w:b/>
                <w:szCs w:val="24"/>
                <w:lang w:val="fr-FR" w:eastAsia="fr-FR" w:bidi="fr-FR"/>
              </w:rPr>
              <w:t xml:space="preserve"> sur le vapotage </w:t>
            </w:r>
          </w:p>
        </w:tc>
        <w:tc>
          <w:tcPr>
            <w:tcW w:w="2403" w:type="dxa"/>
            <w:shd w:val="clear" w:color="auto" w:fill="D9D9D9"/>
          </w:tcPr>
          <w:p w14:paraId="6840A160" w14:textId="77777777" w:rsidR="004F3B26" w:rsidRPr="00D676BD" w:rsidRDefault="004F3B26" w:rsidP="0034102B">
            <w:pPr>
              <w:widowControl w:val="0"/>
              <w:autoSpaceDE w:val="0"/>
              <w:autoSpaceDN w:val="0"/>
              <w:spacing w:before="1" w:after="0" w:line="240" w:lineRule="auto"/>
              <w:rPr>
                <w:rFonts w:eastAsia="Times New Roman" w:cs="Arial"/>
                <w:b/>
                <w:szCs w:val="24"/>
                <w:lang w:val="fr-FR" w:eastAsia="fr-FR" w:bidi="fr-FR"/>
              </w:rPr>
            </w:pPr>
            <w:r w:rsidRPr="00D676BD">
              <w:rPr>
                <w:rFonts w:eastAsia="Times New Roman" w:cs="Arial"/>
                <w:b/>
                <w:szCs w:val="24"/>
                <w:lang w:val="fr-FR" w:eastAsia="fr-FR" w:bidi="fr-FR"/>
              </w:rPr>
              <w:t>Code de taxe d’accise</w:t>
            </w:r>
          </w:p>
        </w:tc>
      </w:tr>
      <w:tr w:rsidR="004F3B26" w:rsidRPr="004F3B26" w14:paraId="434EDF91" w14:textId="77777777" w:rsidTr="00344FF9">
        <w:trPr>
          <w:trHeight w:val="380"/>
        </w:trPr>
        <w:tc>
          <w:tcPr>
            <w:tcW w:w="5688" w:type="dxa"/>
          </w:tcPr>
          <w:p w14:paraId="31F7977A" w14:textId="1C3345F7" w:rsidR="004F3B26" w:rsidRPr="00D676BD" w:rsidRDefault="004F3B26" w:rsidP="00BB1EC4">
            <w:pPr>
              <w:widowControl w:val="0"/>
              <w:autoSpaceDE w:val="0"/>
              <w:autoSpaceDN w:val="0"/>
              <w:spacing w:after="0" w:line="238" w:lineRule="exact"/>
              <w:rPr>
                <w:rFonts w:eastAsia="Times New Roman" w:cs="Arial"/>
                <w:szCs w:val="24"/>
                <w:lang w:val="fr-FR" w:eastAsia="fr-FR" w:bidi="fr-FR"/>
              </w:rPr>
            </w:pPr>
            <w:r w:rsidRPr="00D676BD">
              <w:rPr>
                <w:rFonts w:eastAsia="Times New Roman" w:cs="Arial"/>
                <w:szCs w:val="24"/>
                <w:lang w:val="fr-FR" w:eastAsia="fr-FR" w:bidi="fr-FR"/>
              </w:rPr>
              <w:t>importé par titulaire de LPV</w:t>
            </w:r>
            <w:r w:rsidR="00C16963" w:rsidRPr="00D676BD">
              <w:rPr>
                <w:rFonts w:eastAsia="Times New Roman" w:cs="Arial"/>
                <w:szCs w:val="24"/>
                <w:lang w:val="fr-FR" w:eastAsia="fr-FR" w:bidi="fr-FR"/>
              </w:rPr>
              <w:t xml:space="preserve"> </w:t>
            </w:r>
            <w:r w:rsidR="00721D57" w:rsidRPr="00D676BD">
              <w:rPr>
                <w:rFonts w:eastAsia="Times New Roman" w:cs="Arial"/>
                <w:szCs w:val="24"/>
                <w:lang w:val="fr-FR" w:eastAsia="fr-FR" w:bidi="fr-FR"/>
              </w:rPr>
              <w:t>(</w:t>
            </w:r>
            <w:r w:rsidR="00721D57" w:rsidRPr="00D676BD">
              <w:rPr>
                <w:lang w:val="fr-CA"/>
              </w:rPr>
              <w:t xml:space="preserve">pour fabrication ultérieure, estampillage, pour être façonnés de nouveau, </w:t>
            </w:r>
            <w:r w:rsidR="00721D57" w:rsidRPr="00CE70F3">
              <w:rPr>
                <w:lang w:val="fr-CA"/>
              </w:rPr>
              <w:t>analyse</w:t>
            </w:r>
            <w:r w:rsidR="00721D57" w:rsidRPr="00D676BD">
              <w:rPr>
                <w:lang w:val="fr-CA"/>
              </w:rPr>
              <w:t xml:space="preserve"> ou détruits)</w:t>
            </w:r>
          </w:p>
        </w:tc>
        <w:tc>
          <w:tcPr>
            <w:tcW w:w="2403" w:type="dxa"/>
          </w:tcPr>
          <w:p w14:paraId="027AFD2A" w14:textId="77777777" w:rsidR="004F3B26" w:rsidRPr="00D676BD" w:rsidRDefault="004F3B26" w:rsidP="0034102B">
            <w:pPr>
              <w:widowControl w:val="0"/>
              <w:autoSpaceDE w:val="0"/>
              <w:autoSpaceDN w:val="0"/>
              <w:spacing w:after="0" w:line="238" w:lineRule="exact"/>
              <w:rPr>
                <w:rFonts w:eastAsia="Times New Roman" w:cs="Arial"/>
                <w:szCs w:val="24"/>
                <w:lang w:val="fr-FR" w:eastAsia="fr-FR" w:bidi="fr-FR"/>
              </w:rPr>
            </w:pPr>
            <w:r w:rsidRPr="00D676BD">
              <w:rPr>
                <w:rFonts w:eastAsia="Times New Roman" w:cs="Arial"/>
                <w:szCs w:val="24"/>
                <w:lang w:val="fr-FR" w:eastAsia="fr-FR" w:bidi="fr-FR"/>
              </w:rPr>
              <w:t>80</w:t>
            </w:r>
          </w:p>
        </w:tc>
      </w:tr>
      <w:tr w:rsidR="004F3B26" w:rsidRPr="004F3B26" w14:paraId="37AAF478" w14:textId="77777777" w:rsidTr="00344FF9">
        <w:trPr>
          <w:trHeight w:val="364"/>
        </w:trPr>
        <w:tc>
          <w:tcPr>
            <w:tcW w:w="5688" w:type="dxa"/>
          </w:tcPr>
          <w:p w14:paraId="43E39711" w14:textId="1878E87E" w:rsidR="004F3B26" w:rsidRPr="00EF29A6" w:rsidRDefault="004F3B26" w:rsidP="0034102B">
            <w:pPr>
              <w:widowControl w:val="0"/>
              <w:autoSpaceDE w:val="0"/>
              <w:autoSpaceDN w:val="0"/>
              <w:spacing w:after="0" w:line="237" w:lineRule="exact"/>
              <w:rPr>
                <w:rFonts w:eastAsia="Times New Roman" w:cs="Arial"/>
                <w:szCs w:val="24"/>
                <w:lang w:val="fr-FR" w:eastAsia="fr-FR" w:bidi="fr-FR"/>
              </w:rPr>
            </w:pPr>
            <w:r w:rsidRPr="00EF29A6">
              <w:rPr>
                <w:rFonts w:eastAsia="Times New Roman" w:cs="Arial"/>
                <w:szCs w:val="24"/>
                <w:lang w:val="fr-FR" w:eastAsia="fr-FR" w:bidi="fr-FR"/>
              </w:rPr>
              <w:t>drogue de produit de vapotage</w:t>
            </w:r>
          </w:p>
        </w:tc>
        <w:tc>
          <w:tcPr>
            <w:tcW w:w="2403" w:type="dxa"/>
          </w:tcPr>
          <w:p w14:paraId="0D274C68" w14:textId="77777777" w:rsidR="004F3B26" w:rsidRPr="00EF29A6" w:rsidRDefault="004F3B26" w:rsidP="0034102B">
            <w:pPr>
              <w:widowControl w:val="0"/>
              <w:autoSpaceDE w:val="0"/>
              <w:autoSpaceDN w:val="0"/>
              <w:spacing w:after="0" w:line="237" w:lineRule="exact"/>
              <w:rPr>
                <w:rFonts w:eastAsia="Times New Roman" w:cs="Arial"/>
                <w:szCs w:val="24"/>
                <w:lang w:val="fr-FR" w:eastAsia="fr-FR" w:bidi="fr-FR"/>
              </w:rPr>
            </w:pPr>
            <w:r w:rsidRPr="00EF29A6">
              <w:rPr>
                <w:rFonts w:eastAsia="Times New Roman" w:cs="Arial"/>
                <w:szCs w:val="24"/>
                <w:lang w:val="fr-FR" w:eastAsia="fr-FR" w:bidi="fr-FR"/>
              </w:rPr>
              <w:t>81</w:t>
            </w:r>
          </w:p>
        </w:tc>
      </w:tr>
      <w:tr w:rsidR="004F3B26" w:rsidRPr="004F3B26" w14:paraId="1A88DF0E" w14:textId="77777777" w:rsidTr="00344FF9">
        <w:trPr>
          <w:trHeight w:val="380"/>
        </w:trPr>
        <w:tc>
          <w:tcPr>
            <w:tcW w:w="5688" w:type="dxa"/>
          </w:tcPr>
          <w:p w14:paraId="34716C65" w14:textId="1D9168A0" w:rsidR="004F3B26" w:rsidRPr="00EF29A6" w:rsidRDefault="004F3B26" w:rsidP="0034102B">
            <w:pPr>
              <w:widowControl w:val="0"/>
              <w:autoSpaceDE w:val="0"/>
              <w:autoSpaceDN w:val="0"/>
              <w:spacing w:after="0" w:line="238" w:lineRule="exact"/>
              <w:rPr>
                <w:rFonts w:eastAsia="Times New Roman" w:cs="Arial"/>
                <w:szCs w:val="24"/>
                <w:lang w:val="fr-FR" w:eastAsia="fr-FR" w:bidi="fr-FR"/>
              </w:rPr>
            </w:pPr>
            <w:r w:rsidRPr="00EF29A6">
              <w:rPr>
                <w:rFonts w:eastAsia="Times New Roman" w:cs="Arial"/>
                <w:szCs w:val="24"/>
                <w:lang w:val="fr-FR" w:eastAsia="fr-FR" w:bidi="fr-FR"/>
              </w:rPr>
              <w:t>importation personnelle dans la limite prescrite</w:t>
            </w:r>
          </w:p>
        </w:tc>
        <w:tc>
          <w:tcPr>
            <w:tcW w:w="2403" w:type="dxa"/>
          </w:tcPr>
          <w:p w14:paraId="7E583F7F" w14:textId="77777777" w:rsidR="004F3B26" w:rsidRPr="00EF29A6" w:rsidRDefault="004F3B26" w:rsidP="0034102B">
            <w:pPr>
              <w:widowControl w:val="0"/>
              <w:autoSpaceDE w:val="0"/>
              <w:autoSpaceDN w:val="0"/>
              <w:spacing w:after="0" w:line="238" w:lineRule="exact"/>
              <w:rPr>
                <w:rFonts w:eastAsia="Times New Roman" w:cs="Arial"/>
                <w:szCs w:val="24"/>
                <w:lang w:val="fr-FR" w:eastAsia="fr-FR" w:bidi="fr-FR"/>
              </w:rPr>
            </w:pPr>
            <w:r w:rsidRPr="00EF29A6">
              <w:rPr>
                <w:rFonts w:eastAsia="Times New Roman" w:cs="Arial"/>
                <w:szCs w:val="24"/>
                <w:lang w:val="fr-FR" w:eastAsia="fr-FR" w:bidi="fr-FR"/>
              </w:rPr>
              <w:t>82</w:t>
            </w:r>
          </w:p>
        </w:tc>
      </w:tr>
    </w:tbl>
    <w:p w14:paraId="4B13962C" w14:textId="77777777" w:rsidR="00C16963" w:rsidRDefault="00C16963" w:rsidP="004F3B26">
      <w:pPr>
        <w:ind w:left="284"/>
        <w:rPr>
          <w:lang w:val="fr-CA"/>
        </w:rPr>
      </w:pPr>
    </w:p>
    <w:p w14:paraId="77A2D9CB" w14:textId="7B754427" w:rsidR="00AB485A" w:rsidRDefault="004F3B26" w:rsidP="00BB1EC4">
      <w:pPr>
        <w:rPr>
          <w:lang w:val="fr-CA"/>
        </w:rPr>
      </w:pPr>
      <w:r w:rsidRPr="004F3B26">
        <w:rPr>
          <w:lang w:val="fr-CA"/>
        </w:rPr>
        <w:t>Note : aux fins du tableau ci-dessus, LPV signifie licence de produits de vapotage</w:t>
      </w:r>
    </w:p>
    <w:p w14:paraId="5FC6DCC5" w14:textId="47CCE9D5" w:rsidR="004F3B26" w:rsidRPr="00D676BD" w:rsidRDefault="004F3B26" w:rsidP="004F3B26">
      <w:pPr>
        <w:rPr>
          <w:b/>
          <w:lang w:val="fr-CA"/>
        </w:rPr>
      </w:pPr>
      <w:r w:rsidRPr="00D676BD">
        <w:rPr>
          <w:b/>
          <w:lang w:val="fr-CA"/>
        </w:rPr>
        <w:t xml:space="preserve">Exemple </w:t>
      </w:r>
      <w:r w:rsidR="000E1674" w:rsidRPr="00CE70F3">
        <w:rPr>
          <w:b/>
          <w:lang w:val="fr-CA"/>
        </w:rPr>
        <w:t>3</w:t>
      </w:r>
    </w:p>
    <w:p w14:paraId="25CAB003" w14:textId="323AF6A3" w:rsidR="00CC2982" w:rsidRPr="00D676BD" w:rsidRDefault="00404047" w:rsidP="004F3B26">
      <w:pPr>
        <w:rPr>
          <w:lang w:val="fr-CA"/>
        </w:rPr>
      </w:pPr>
      <w:r w:rsidRPr="00B17FF8">
        <w:rPr>
          <w:noProof/>
          <w:lang w:eastAsia="zh-CN"/>
        </w:rPr>
        <w:drawing>
          <wp:anchor distT="0" distB="0" distL="114300" distR="114300" simplePos="0" relativeHeight="251772928" behindDoc="0" locked="0" layoutInCell="1" allowOverlap="1" wp14:anchorId="3D6B7486" wp14:editId="35470254">
            <wp:simplePos x="0" y="0"/>
            <wp:positionH relativeFrom="margin">
              <wp:align>right</wp:align>
            </wp:positionH>
            <wp:positionV relativeFrom="page">
              <wp:posOffset>7666355</wp:posOffset>
            </wp:positionV>
            <wp:extent cx="7103745" cy="911860"/>
            <wp:effectExtent l="0" t="0" r="1905"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7103745" cy="911860"/>
                    </a:xfrm>
                    <a:prstGeom prst="rect">
                      <a:avLst/>
                    </a:prstGeom>
                  </pic:spPr>
                </pic:pic>
              </a:graphicData>
            </a:graphic>
          </wp:anchor>
        </w:drawing>
      </w:r>
      <w:r w:rsidR="00C05B5B" w:rsidRPr="00CE70F3">
        <w:rPr>
          <w:lang w:val="fr-CA"/>
        </w:rPr>
        <w:t xml:space="preserve">L’exemple </w:t>
      </w:r>
      <w:r w:rsidR="00BB1EC4" w:rsidRPr="00CE70F3">
        <w:rPr>
          <w:lang w:val="fr-CA"/>
        </w:rPr>
        <w:t xml:space="preserve">ci-dessous représente une importation commerciale d’une bouteille de 30 grammes de produit de vapotage solide qui a une valeur en douane de 50$. Cependant, dans cet exemple, le produit n’est pas estampillé, n’est pas emballé et il est importé par un titulaire de licence de produits de vapotage pour fabrication ultérieure. Le code de taxe d’accise 80 est </w:t>
      </w:r>
      <w:r w:rsidR="00C05B5B" w:rsidRPr="00CE70F3">
        <w:rPr>
          <w:lang w:val="fr-CA"/>
        </w:rPr>
        <w:t xml:space="preserve">sélectionné </w:t>
      </w:r>
      <w:r w:rsidR="00BB1EC4" w:rsidRPr="00CE70F3">
        <w:rPr>
          <w:lang w:val="fr-CA"/>
        </w:rPr>
        <w:t>pour exonérer le droit sur le vapotage</w:t>
      </w:r>
      <w:r w:rsidR="00361A41" w:rsidRPr="00CE70F3">
        <w:rPr>
          <w:lang w:val="fr-CA"/>
        </w:rPr>
        <w:t xml:space="preserve"> </w:t>
      </w:r>
      <w:r w:rsidR="00361A41" w:rsidRPr="00CE70F3">
        <w:rPr>
          <w:rFonts w:eastAsia="Times New Roman" w:cs="Arial"/>
          <w:spacing w:val="3"/>
          <w:szCs w:val="24"/>
          <w:lang w:val="fr-CA" w:bidi="en-US"/>
        </w:rPr>
        <w:t>et le droit additionnel</w:t>
      </w:r>
      <w:r w:rsidR="00D17501" w:rsidRPr="00D14570">
        <w:rPr>
          <w:rFonts w:eastAsia="Times New Roman" w:cs="Arial"/>
          <w:spacing w:val="3"/>
          <w:szCs w:val="24"/>
          <w:lang w:val="fr-CA" w:bidi="en-US"/>
        </w:rPr>
        <w:t xml:space="preserve"> sur le vapotage</w:t>
      </w:r>
      <w:r w:rsidR="00BB1EC4" w:rsidRPr="00CE70F3">
        <w:rPr>
          <w:lang w:val="fr-CA"/>
        </w:rPr>
        <w:t>.</w:t>
      </w:r>
    </w:p>
    <w:p w14:paraId="1641BE23" w14:textId="1B14A668" w:rsidR="0078261E" w:rsidRPr="00D676BD" w:rsidRDefault="0078261E" w:rsidP="004F3B26">
      <w:pPr>
        <w:rPr>
          <w:lang w:val="fr-CA"/>
        </w:rPr>
      </w:pPr>
    </w:p>
    <w:p w14:paraId="53740E5C" w14:textId="138CD978" w:rsidR="004F3B26" w:rsidRPr="00CE70F3" w:rsidRDefault="001404EC" w:rsidP="00934C35">
      <w:pPr>
        <w:rPr>
          <w:lang w:val="fr-CA"/>
        </w:rPr>
      </w:pPr>
      <w:r w:rsidRPr="00CE70F3">
        <w:rPr>
          <w:lang w:val="fr-CA"/>
        </w:rPr>
        <w:t>Version Textuelle</w:t>
      </w:r>
    </w:p>
    <w:p w14:paraId="593A6FC2" w14:textId="31522669" w:rsidR="00301640" w:rsidRPr="00CE70F3" w:rsidRDefault="00301640" w:rsidP="00934C35">
      <w:pPr>
        <w:shd w:val="clear" w:color="auto" w:fill="FFFFFF"/>
        <w:rPr>
          <w:rFonts w:eastAsia="Times New Roman" w:cs="Arial"/>
          <w:color w:val="333333"/>
          <w:szCs w:val="24"/>
          <w:lang w:val="fr-CA"/>
        </w:rPr>
      </w:pPr>
      <w:bookmarkStart w:id="62" w:name="SH28"/>
      <w:r w:rsidRPr="00CE70F3">
        <w:rPr>
          <w:rFonts w:cs="Arial"/>
          <w:szCs w:val="24"/>
          <w:lang w:val="fr-CA"/>
        </w:rPr>
        <w:t xml:space="preserve">Le champ </w:t>
      </w:r>
      <w:r w:rsidRPr="00CE70F3">
        <w:rPr>
          <w:rFonts w:eastAsia="Times New Roman" w:cs="Arial"/>
          <w:color w:val="333333"/>
          <w:szCs w:val="24"/>
          <w:lang w:val="fr-CA"/>
        </w:rPr>
        <w:t>LIGNE indique 1</w:t>
      </w:r>
    </w:p>
    <w:p w14:paraId="31DE4C94" w14:textId="56D916DD" w:rsidR="00301640" w:rsidRPr="00CE70F3" w:rsidRDefault="00301640" w:rsidP="00934C35">
      <w:pPr>
        <w:shd w:val="clear" w:color="auto" w:fill="FFFFFF"/>
        <w:rPr>
          <w:rFonts w:eastAsia="Times New Roman" w:cs="Arial"/>
          <w:color w:val="333333"/>
          <w:szCs w:val="24"/>
          <w:lang w:val="fr-CA"/>
        </w:rPr>
      </w:pPr>
      <w:r w:rsidRPr="00CE70F3">
        <w:rPr>
          <w:rFonts w:cs="Arial"/>
          <w:szCs w:val="24"/>
          <w:lang w:val="fr-CA"/>
        </w:rPr>
        <w:t xml:space="preserve">Le champ </w:t>
      </w:r>
      <w:r w:rsidRPr="00CE70F3">
        <w:rPr>
          <w:rFonts w:eastAsia="Times New Roman" w:cs="Arial"/>
          <w:color w:val="333333"/>
          <w:szCs w:val="24"/>
          <w:lang w:val="fr-CA"/>
        </w:rPr>
        <w:t>DESIGNATION indique PRODUITS DE VAPOTAGE</w:t>
      </w:r>
    </w:p>
    <w:p w14:paraId="382CA135" w14:textId="7F1E64CC" w:rsidR="00301640" w:rsidRPr="00CE70F3" w:rsidRDefault="00301640" w:rsidP="00934C35">
      <w:pPr>
        <w:shd w:val="clear" w:color="auto" w:fill="FFFFFF"/>
        <w:rPr>
          <w:rFonts w:eastAsia="Times New Roman" w:cs="Arial"/>
          <w:color w:val="333333"/>
          <w:szCs w:val="24"/>
          <w:lang w:val="fr-CA"/>
        </w:rPr>
      </w:pPr>
      <w:r w:rsidRPr="00CE70F3">
        <w:rPr>
          <w:rFonts w:cs="Arial"/>
          <w:szCs w:val="24"/>
          <w:lang w:val="fr-CA"/>
        </w:rPr>
        <w:t>Le champ N° DE CLASSEMENT</w:t>
      </w:r>
      <w:r w:rsidRPr="00CE70F3">
        <w:rPr>
          <w:rFonts w:eastAsia="Times New Roman" w:cs="Arial"/>
          <w:color w:val="333333"/>
          <w:szCs w:val="24"/>
          <w:lang w:val="fr-CA"/>
        </w:rPr>
        <w:t xml:space="preserve"> indique 2404190000</w:t>
      </w:r>
    </w:p>
    <w:p w14:paraId="2331471F" w14:textId="6776E4DF" w:rsidR="00301640" w:rsidRPr="00CE70F3" w:rsidRDefault="00301640" w:rsidP="00934C35">
      <w:pPr>
        <w:shd w:val="clear" w:color="auto" w:fill="FFFFFF"/>
        <w:rPr>
          <w:rFonts w:eastAsia="Times New Roman" w:cs="Arial"/>
          <w:color w:val="333333"/>
          <w:szCs w:val="24"/>
          <w:lang w:val="fr-CA"/>
        </w:rPr>
      </w:pPr>
      <w:r w:rsidRPr="00CE70F3">
        <w:rPr>
          <w:rFonts w:cs="Arial"/>
          <w:szCs w:val="24"/>
          <w:lang w:val="fr-CA"/>
        </w:rPr>
        <w:t>Le champ QUANTITÉ</w:t>
      </w:r>
      <w:r w:rsidRPr="00CE70F3">
        <w:rPr>
          <w:rFonts w:eastAsia="Times New Roman" w:cs="Arial"/>
          <w:color w:val="333333"/>
          <w:szCs w:val="24"/>
          <w:lang w:val="fr-CA"/>
        </w:rPr>
        <w:t xml:space="preserve"> indique 0.030</w:t>
      </w:r>
    </w:p>
    <w:p w14:paraId="34823413" w14:textId="644011AA" w:rsidR="00301640" w:rsidRPr="00CE70F3" w:rsidRDefault="00301640" w:rsidP="00934C35">
      <w:pPr>
        <w:shd w:val="clear" w:color="auto" w:fill="FFFFFF"/>
        <w:rPr>
          <w:rFonts w:eastAsia="Times New Roman" w:cs="Arial"/>
          <w:color w:val="333333"/>
          <w:szCs w:val="24"/>
          <w:lang w:val="fr-CA"/>
        </w:rPr>
      </w:pPr>
      <w:r w:rsidRPr="00CE70F3">
        <w:rPr>
          <w:rFonts w:cs="Arial"/>
          <w:szCs w:val="24"/>
          <w:lang w:val="fr-CA"/>
        </w:rPr>
        <w:t xml:space="preserve">Le champ </w:t>
      </w:r>
      <w:r w:rsidRPr="00CE70F3">
        <w:rPr>
          <w:rFonts w:eastAsia="Times New Roman" w:cs="Arial"/>
          <w:color w:val="333333"/>
          <w:szCs w:val="24"/>
          <w:lang w:val="fr-CA"/>
        </w:rPr>
        <w:t>U-M indique KGM</w:t>
      </w:r>
    </w:p>
    <w:p w14:paraId="02147F25" w14:textId="302E0D0D" w:rsidR="00301640" w:rsidRPr="00CE70F3" w:rsidRDefault="00301640" w:rsidP="00934C35">
      <w:pPr>
        <w:shd w:val="clear" w:color="auto" w:fill="FFFFFF"/>
        <w:rPr>
          <w:rFonts w:eastAsia="Times New Roman" w:cs="Arial"/>
          <w:color w:val="333333"/>
          <w:szCs w:val="24"/>
          <w:lang w:val="fr-CA"/>
        </w:rPr>
      </w:pPr>
      <w:r w:rsidRPr="00CE70F3">
        <w:rPr>
          <w:rFonts w:cs="Arial"/>
          <w:szCs w:val="24"/>
          <w:lang w:val="fr-CA"/>
        </w:rPr>
        <w:t>Le champ TAUX DE DROIT DE DOUANE</w:t>
      </w:r>
      <w:r w:rsidRPr="00CE70F3">
        <w:rPr>
          <w:rFonts w:eastAsia="Times New Roman" w:cs="Arial"/>
          <w:color w:val="333333"/>
          <w:szCs w:val="24"/>
          <w:lang w:val="fr-CA"/>
        </w:rPr>
        <w:t xml:space="preserve"> indique 0.00000</w:t>
      </w:r>
    </w:p>
    <w:p w14:paraId="675E516E" w14:textId="2EC8AF91" w:rsidR="00301640" w:rsidRPr="00CE70F3" w:rsidRDefault="00301640" w:rsidP="00934C35">
      <w:pPr>
        <w:shd w:val="clear" w:color="auto" w:fill="FFFFFF"/>
        <w:rPr>
          <w:rFonts w:eastAsia="Times New Roman" w:cs="Arial"/>
          <w:color w:val="333333"/>
          <w:szCs w:val="24"/>
          <w:lang w:val="fr-CA"/>
        </w:rPr>
      </w:pPr>
      <w:r w:rsidRPr="00CE70F3">
        <w:rPr>
          <w:rFonts w:cs="Arial"/>
          <w:szCs w:val="24"/>
          <w:lang w:val="fr-CA"/>
        </w:rPr>
        <w:t xml:space="preserve">Le champ </w:t>
      </w:r>
      <w:r w:rsidRPr="00CE70F3">
        <w:rPr>
          <w:rFonts w:eastAsia="Times New Roman" w:cs="Arial"/>
          <w:color w:val="333333"/>
          <w:szCs w:val="24"/>
          <w:lang w:val="fr-CA"/>
        </w:rPr>
        <w:t>TAUX T.A. indique 90.00000</w:t>
      </w:r>
    </w:p>
    <w:p w14:paraId="2866E280" w14:textId="42AE76F1" w:rsidR="00301640" w:rsidRPr="00CE70F3" w:rsidRDefault="00301640" w:rsidP="00934C35">
      <w:pPr>
        <w:shd w:val="clear" w:color="auto" w:fill="FFFFFF"/>
        <w:rPr>
          <w:rFonts w:eastAsia="Times New Roman" w:cs="Arial"/>
          <w:color w:val="333333"/>
          <w:szCs w:val="24"/>
          <w:lang w:val="fr-CA"/>
        </w:rPr>
      </w:pPr>
      <w:r w:rsidRPr="00CE70F3">
        <w:rPr>
          <w:rFonts w:cs="Arial"/>
          <w:szCs w:val="24"/>
          <w:lang w:val="fr-CA"/>
        </w:rPr>
        <w:t xml:space="preserve">Le champ </w:t>
      </w:r>
      <w:r w:rsidRPr="00CE70F3">
        <w:rPr>
          <w:rFonts w:eastAsia="Times New Roman" w:cs="Arial"/>
          <w:color w:val="333333"/>
          <w:szCs w:val="24"/>
          <w:lang w:val="fr-CA"/>
        </w:rPr>
        <w:t>TAUX DE TPS indique 5.00</w:t>
      </w:r>
    </w:p>
    <w:p w14:paraId="0E0C0472" w14:textId="13C78701" w:rsidR="00301640" w:rsidRPr="00CE70F3" w:rsidRDefault="00301640" w:rsidP="00934C35">
      <w:pPr>
        <w:shd w:val="clear" w:color="auto" w:fill="FFFFFF"/>
        <w:rPr>
          <w:rFonts w:eastAsia="Times New Roman" w:cs="Arial"/>
          <w:color w:val="333333"/>
          <w:szCs w:val="24"/>
          <w:lang w:val="fr-CA"/>
        </w:rPr>
      </w:pPr>
      <w:r w:rsidRPr="00CE70F3">
        <w:rPr>
          <w:rFonts w:cs="Arial"/>
          <w:szCs w:val="24"/>
          <w:lang w:val="fr-CA"/>
        </w:rPr>
        <w:t>Le champ CONVERSION VALEUR POUR CHANGE</w:t>
      </w:r>
      <w:r w:rsidRPr="00CE70F3">
        <w:rPr>
          <w:rFonts w:eastAsia="Times New Roman" w:cs="Arial"/>
          <w:color w:val="333333"/>
          <w:szCs w:val="24"/>
          <w:lang w:val="fr-CA"/>
        </w:rPr>
        <w:t xml:space="preserve"> indique 50.00</w:t>
      </w:r>
    </w:p>
    <w:p w14:paraId="7E1348E0" w14:textId="1E847188" w:rsidR="00301640" w:rsidRPr="00CE70F3" w:rsidRDefault="00301640" w:rsidP="00934C35">
      <w:pPr>
        <w:shd w:val="clear" w:color="auto" w:fill="FFFFFF"/>
        <w:rPr>
          <w:rFonts w:eastAsia="Times New Roman" w:cs="Arial"/>
          <w:color w:val="333333"/>
          <w:szCs w:val="24"/>
          <w:lang w:val="fr-CA"/>
        </w:rPr>
      </w:pPr>
      <w:r w:rsidRPr="00CE70F3">
        <w:rPr>
          <w:rFonts w:cs="Arial"/>
          <w:szCs w:val="24"/>
          <w:lang w:val="fr-CA"/>
        </w:rPr>
        <w:t>Le champ VALEUR EN DOUANE</w:t>
      </w:r>
      <w:r w:rsidRPr="00CE70F3">
        <w:rPr>
          <w:rFonts w:eastAsia="Times New Roman" w:cs="Arial"/>
          <w:color w:val="333333"/>
          <w:szCs w:val="24"/>
          <w:lang w:val="fr-CA"/>
        </w:rPr>
        <w:t xml:space="preserve"> indique 50.00</w:t>
      </w:r>
    </w:p>
    <w:p w14:paraId="44DFB3CF" w14:textId="24DBB3F0" w:rsidR="00301640" w:rsidRPr="00CE70F3" w:rsidRDefault="00301640" w:rsidP="00934C35">
      <w:pPr>
        <w:shd w:val="clear" w:color="auto" w:fill="FFFFFF"/>
        <w:rPr>
          <w:rFonts w:eastAsia="Times New Roman" w:cs="Arial"/>
          <w:color w:val="333333"/>
          <w:szCs w:val="24"/>
          <w:lang w:val="fr-CA"/>
        </w:rPr>
      </w:pPr>
      <w:r w:rsidRPr="00CE70F3">
        <w:rPr>
          <w:rFonts w:cs="Arial"/>
          <w:szCs w:val="24"/>
          <w:lang w:val="fr-CA"/>
        </w:rPr>
        <w:t>Le champ DROITS DE DOUANE</w:t>
      </w:r>
      <w:r w:rsidRPr="00CE70F3">
        <w:rPr>
          <w:rFonts w:eastAsia="Times New Roman" w:cs="Arial"/>
          <w:color w:val="333333"/>
          <w:szCs w:val="24"/>
          <w:lang w:val="fr-CA"/>
        </w:rPr>
        <w:t xml:space="preserve"> indique 0.00</w:t>
      </w:r>
    </w:p>
    <w:p w14:paraId="5501DE8B" w14:textId="48D2FDA8" w:rsidR="00301640" w:rsidRPr="00CE70F3" w:rsidRDefault="00301640" w:rsidP="00934C35">
      <w:pPr>
        <w:shd w:val="clear" w:color="auto" w:fill="FFFFFF"/>
        <w:rPr>
          <w:rFonts w:eastAsia="Times New Roman" w:cs="Arial"/>
          <w:color w:val="333333"/>
          <w:szCs w:val="24"/>
          <w:lang w:val="fr-CA"/>
        </w:rPr>
      </w:pPr>
      <w:r w:rsidRPr="00CE70F3">
        <w:rPr>
          <w:rFonts w:cs="Arial"/>
          <w:szCs w:val="24"/>
          <w:lang w:val="fr-CA"/>
        </w:rPr>
        <w:t>Le champ TAXE D'ACCISE</w:t>
      </w:r>
      <w:r w:rsidRPr="00CE70F3">
        <w:rPr>
          <w:rFonts w:eastAsia="Times New Roman" w:cs="Arial"/>
          <w:color w:val="333333"/>
          <w:szCs w:val="24"/>
          <w:lang w:val="fr-CA"/>
        </w:rPr>
        <w:t xml:space="preserve"> indique 0.00</w:t>
      </w:r>
    </w:p>
    <w:p w14:paraId="43C36C3D" w14:textId="71D2E587" w:rsidR="00301640" w:rsidRPr="00CE70F3" w:rsidRDefault="00301640" w:rsidP="00934C35">
      <w:pPr>
        <w:shd w:val="clear" w:color="auto" w:fill="FFFFFF"/>
        <w:rPr>
          <w:rFonts w:eastAsia="Times New Roman" w:cs="Arial"/>
          <w:color w:val="333333"/>
          <w:szCs w:val="24"/>
          <w:lang w:val="fr-CA"/>
        </w:rPr>
      </w:pPr>
      <w:r w:rsidRPr="00CE70F3">
        <w:rPr>
          <w:rFonts w:cs="Arial"/>
          <w:szCs w:val="24"/>
          <w:lang w:val="fr-CA"/>
        </w:rPr>
        <w:t>Le champ VALEUR POUR TAXE</w:t>
      </w:r>
      <w:r w:rsidRPr="00CE70F3">
        <w:rPr>
          <w:rFonts w:eastAsia="Times New Roman" w:cs="Arial"/>
          <w:color w:val="333333"/>
          <w:szCs w:val="24"/>
          <w:lang w:val="fr-CA"/>
        </w:rPr>
        <w:t xml:space="preserve"> indique 50.00</w:t>
      </w:r>
    </w:p>
    <w:p w14:paraId="3B1C2FA9" w14:textId="24650321" w:rsidR="00301640" w:rsidRPr="000C5F67" w:rsidRDefault="00301640" w:rsidP="00934C35">
      <w:pPr>
        <w:shd w:val="clear" w:color="auto" w:fill="FFFFFF"/>
        <w:rPr>
          <w:rFonts w:eastAsia="Times New Roman" w:cs="Arial"/>
          <w:color w:val="333333"/>
          <w:szCs w:val="24"/>
          <w:lang w:val="fr-CA"/>
        </w:rPr>
      </w:pPr>
      <w:r w:rsidRPr="00CE70F3">
        <w:rPr>
          <w:rFonts w:eastAsia="Times New Roman" w:cs="Arial"/>
          <w:color w:val="333333"/>
          <w:szCs w:val="24"/>
          <w:lang w:val="fr-CA"/>
        </w:rPr>
        <w:t xml:space="preserve">Et </w:t>
      </w:r>
      <w:r w:rsidRPr="00CE70F3">
        <w:rPr>
          <w:rFonts w:cs="Arial"/>
          <w:szCs w:val="24"/>
          <w:lang w:val="fr-CA"/>
        </w:rPr>
        <w:t xml:space="preserve">le champ </w:t>
      </w:r>
      <w:r w:rsidRPr="00CE70F3">
        <w:rPr>
          <w:rFonts w:eastAsia="Times New Roman" w:cs="Arial"/>
          <w:color w:val="333333"/>
          <w:szCs w:val="24"/>
          <w:lang w:val="fr-CA"/>
        </w:rPr>
        <w:t>TPS indique 2.50</w:t>
      </w:r>
    </w:p>
    <w:p w14:paraId="27083A6A" w14:textId="196FC420" w:rsidR="004F3B26" w:rsidRPr="00447EBA" w:rsidRDefault="00722237" w:rsidP="007D6D16">
      <w:pPr>
        <w:pStyle w:val="Heading3"/>
      </w:pPr>
      <w:bookmarkStart w:id="63" w:name="_Renseignements_supplémentaires_sur"/>
      <w:bookmarkEnd w:id="63"/>
      <w:r w:rsidRPr="000C5F67">
        <w:t>Renseignements supplémentaires sur la déclaration</w:t>
      </w:r>
      <w:r w:rsidRPr="00447EBA">
        <w:t xml:space="preserve"> et la déclaration en détail</w:t>
      </w:r>
      <w:bookmarkEnd w:id="62"/>
      <w:r w:rsidR="00D63BC4">
        <w:t xml:space="preserve"> </w:t>
      </w:r>
    </w:p>
    <w:p w14:paraId="36D6BCB6" w14:textId="3DDFB582" w:rsidR="004F3B26" w:rsidRDefault="006D4591" w:rsidP="004E5DAA">
      <w:pPr>
        <w:rPr>
          <w:lang w:val="fr-CA"/>
        </w:rPr>
      </w:pPr>
      <w:r>
        <w:rPr>
          <w:lang w:val="fr-CA"/>
        </w:rPr>
        <w:t>86</w:t>
      </w:r>
      <w:r w:rsidR="00722237">
        <w:rPr>
          <w:lang w:val="fr-CA"/>
        </w:rPr>
        <w:t xml:space="preserve">. </w:t>
      </w:r>
      <w:r w:rsidR="00722237" w:rsidRPr="00722237">
        <w:rPr>
          <w:lang w:val="fr-CA"/>
        </w:rPr>
        <w:t xml:space="preserve">Pour plus de renseignements sur la déclaration et la déclaration en détail des marchandises commerciales et des marchandises occasionnelles (non commerciales), consultez la série des </w:t>
      </w:r>
      <w:r w:rsidR="00722237" w:rsidRPr="005F43E8">
        <w:rPr>
          <w:i/>
          <w:lang w:val="fr-CA"/>
        </w:rPr>
        <w:lastRenderedPageBreak/>
        <w:t>Mémorandums D : D17 - Procédures de déclarations en détail et des mainlevées</w:t>
      </w:r>
      <w:r w:rsidR="00722237" w:rsidRPr="00722237">
        <w:rPr>
          <w:lang w:val="fr-CA"/>
        </w:rPr>
        <w:t xml:space="preserve">, au lien se trouvant dans la section </w:t>
      </w:r>
      <w:hyperlink w:anchor="Lienscommexes" w:history="1">
        <w:r w:rsidR="000E13D3" w:rsidRPr="001504F5">
          <w:rPr>
            <w:rStyle w:val="Hyperlink"/>
            <w:color w:val="auto"/>
            <w:u w:val="none"/>
            <w:lang w:val="fr-CA"/>
          </w:rPr>
          <w:t>Liens connexes</w:t>
        </w:r>
      </w:hyperlink>
      <w:r w:rsidR="00722237" w:rsidRPr="00722237">
        <w:rPr>
          <w:lang w:val="fr-CA"/>
        </w:rPr>
        <w:t xml:space="preserve"> de ce mémorandum</w:t>
      </w:r>
    </w:p>
    <w:p w14:paraId="4846045E" w14:textId="475AD589" w:rsidR="004F3B26" w:rsidRPr="00447EBA" w:rsidRDefault="00722237" w:rsidP="007D6D16">
      <w:pPr>
        <w:pStyle w:val="Heading3"/>
      </w:pPr>
      <w:bookmarkStart w:id="64" w:name="SH29"/>
      <w:r w:rsidRPr="00447EBA">
        <w:t>Restitution et vente des produits de vapotage</w:t>
      </w:r>
      <w:bookmarkEnd w:id="64"/>
      <w:r w:rsidR="00873669">
        <w:t xml:space="preserve"> </w:t>
      </w:r>
    </w:p>
    <w:p w14:paraId="7A7C7D5C" w14:textId="3F9F8E5F" w:rsidR="00722237" w:rsidRPr="00722237" w:rsidRDefault="006D4591" w:rsidP="00722237">
      <w:pPr>
        <w:rPr>
          <w:lang w:val="fr-CA"/>
        </w:rPr>
      </w:pPr>
      <w:r>
        <w:rPr>
          <w:lang w:val="fr-CA"/>
        </w:rPr>
        <w:t>87</w:t>
      </w:r>
      <w:r w:rsidR="00722237">
        <w:rPr>
          <w:lang w:val="fr-CA"/>
        </w:rPr>
        <w:t xml:space="preserve">. </w:t>
      </w:r>
      <w:r w:rsidR="00722237" w:rsidRPr="00722237">
        <w:rPr>
          <w:lang w:val="fr-CA"/>
        </w:rPr>
        <w:t xml:space="preserve">L'article 117 de la </w:t>
      </w:r>
      <w:r w:rsidR="00722237" w:rsidRPr="001504F5">
        <w:rPr>
          <w:i/>
          <w:lang w:val="fr-CA"/>
        </w:rPr>
        <w:t>Loi sur les douanes</w:t>
      </w:r>
      <w:r w:rsidR="00722237" w:rsidRPr="00722237">
        <w:rPr>
          <w:lang w:val="fr-CA"/>
        </w:rPr>
        <w:t xml:space="preserve"> ne permet pas de restitution de produits de vapotage sauf si les marchandises ont été saisies par erreur.</w:t>
      </w:r>
    </w:p>
    <w:p w14:paraId="6222F2E5" w14:textId="52950AF6" w:rsidR="004F3B26" w:rsidRDefault="006D4591" w:rsidP="00722237">
      <w:pPr>
        <w:rPr>
          <w:lang w:val="fr-CA"/>
        </w:rPr>
      </w:pPr>
      <w:r>
        <w:rPr>
          <w:lang w:val="fr-CA"/>
        </w:rPr>
        <w:t>88</w:t>
      </w:r>
      <w:r w:rsidR="00722237">
        <w:rPr>
          <w:lang w:val="fr-CA"/>
        </w:rPr>
        <w:t xml:space="preserve">. </w:t>
      </w:r>
      <w:r w:rsidR="00722237" w:rsidRPr="00722237">
        <w:rPr>
          <w:lang w:val="fr-CA"/>
        </w:rPr>
        <w:t xml:space="preserve">L'article 119.1 de la </w:t>
      </w:r>
      <w:r w:rsidR="00722237" w:rsidRPr="00560A42">
        <w:rPr>
          <w:i/>
          <w:lang w:val="fr-CA"/>
        </w:rPr>
        <w:t>Loi sur les douanes</w:t>
      </w:r>
      <w:r w:rsidR="00722237" w:rsidRPr="00722237">
        <w:rPr>
          <w:lang w:val="fr-CA"/>
        </w:rPr>
        <w:t xml:space="preserve"> permet au ministre de vendre les produits de vapotage confisqués au titulaire de la licence voulue aux termes de la </w:t>
      </w:r>
      <w:r w:rsidR="00722237" w:rsidRPr="00722237">
        <w:rPr>
          <w:i/>
          <w:lang w:val="fr-CA"/>
        </w:rPr>
        <w:t>Loi de 2001 sur l'accise</w:t>
      </w:r>
      <w:r w:rsidR="00722237" w:rsidRPr="00722237">
        <w:rPr>
          <w:lang w:val="fr-CA"/>
        </w:rPr>
        <w:t>.</w:t>
      </w:r>
    </w:p>
    <w:p w14:paraId="0B98603A" w14:textId="2A6C5E8B" w:rsidR="00722237" w:rsidRPr="000C5F67" w:rsidRDefault="00CB3B71" w:rsidP="007D6D16">
      <w:pPr>
        <w:pStyle w:val="Heading3"/>
      </w:pPr>
      <w:bookmarkStart w:id="65" w:name="_Déclaration_et_versement"/>
      <w:bookmarkStart w:id="66" w:name="SH30"/>
      <w:bookmarkEnd w:id="65"/>
      <w:r w:rsidRPr="00447EBA">
        <w:t xml:space="preserve">Déclaration et </w:t>
      </w:r>
      <w:r w:rsidRPr="000C5F67">
        <w:t xml:space="preserve">versement </w:t>
      </w:r>
      <w:r w:rsidR="00982DBA" w:rsidRPr="00CE70F3">
        <w:t xml:space="preserve">du droit </w:t>
      </w:r>
      <w:r w:rsidR="00AE37C7" w:rsidRPr="00CE70F3">
        <w:t xml:space="preserve">sur le vapotage et du droit </w:t>
      </w:r>
      <w:r w:rsidR="00DA7ACE" w:rsidRPr="00CE70F3">
        <w:t>additionnel</w:t>
      </w:r>
      <w:r w:rsidR="007F374A" w:rsidRPr="00D14570">
        <w:t xml:space="preserve"> sur le vapotage</w:t>
      </w:r>
      <w:r w:rsidR="00AE37C7" w:rsidRPr="00CE70F3">
        <w:t xml:space="preserve"> </w:t>
      </w:r>
      <w:r w:rsidRPr="000C5F67">
        <w:t>à l’ARC</w:t>
      </w:r>
      <w:bookmarkEnd w:id="66"/>
      <w:r w:rsidR="005B0F80" w:rsidRPr="000C5F67">
        <w:t xml:space="preserve"> </w:t>
      </w:r>
    </w:p>
    <w:p w14:paraId="3F54800A" w14:textId="0329D568" w:rsidR="00CB3B71" w:rsidRPr="00CB3B71" w:rsidRDefault="006D4591" w:rsidP="00CB3B71">
      <w:pPr>
        <w:rPr>
          <w:lang w:val="fr-CA"/>
        </w:rPr>
      </w:pPr>
      <w:r w:rsidRPr="000C5F67">
        <w:rPr>
          <w:lang w:val="fr-CA"/>
        </w:rPr>
        <w:t>89</w:t>
      </w:r>
      <w:r w:rsidR="00CB3B71" w:rsidRPr="000C5F67">
        <w:rPr>
          <w:lang w:val="fr-CA"/>
        </w:rPr>
        <w:t xml:space="preserve">. Un titulaire de licence de produits de vapotage doit compléter et soumettre de façon mensuelle un formulaire </w:t>
      </w:r>
      <w:hyperlink r:id="rId17" w:history="1">
        <w:r w:rsidR="00CB3B71" w:rsidRPr="000C5F67">
          <w:rPr>
            <w:rStyle w:val="Hyperlink"/>
            <w:lang w:val="fr-CA"/>
          </w:rPr>
          <w:t>B600, Déclaration du droit et de renseignements sur les produits de vapotage</w:t>
        </w:r>
      </w:hyperlink>
      <w:r w:rsidR="00CB3B71" w:rsidRPr="000C5F67">
        <w:rPr>
          <w:lang w:val="fr-CA"/>
        </w:rPr>
        <w:t>, pour rendre compte de ses activités de fabrication (y compris de s</w:t>
      </w:r>
      <w:r w:rsidR="00CB3B71" w:rsidRPr="00D14570">
        <w:rPr>
          <w:lang w:val="fr-CA"/>
        </w:rPr>
        <w:t>on inventaire)</w:t>
      </w:r>
      <w:r w:rsidR="00874542" w:rsidRPr="00D14570">
        <w:rPr>
          <w:lang w:val="fr-CA"/>
        </w:rPr>
        <w:t xml:space="preserve">, </w:t>
      </w:r>
      <w:r w:rsidR="00AE37C7" w:rsidRPr="00CE70F3">
        <w:rPr>
          <w:lang w:val="fr-CA"/>
        </w:rPr>
        <w:t xml:space="preserve">du droit  sur le vapotage et du </w:t>
      </w:r>
      <w:r w:rsidR="00771530" w:rsidRPr="00CE70F3">
        <w:rPr>
          <w:rFonts w:cs="Arial"/>
          <w:szCs w:val="24"/>
          <w:lang w:val="fr-CA"/>
        </w:rPr>
        <w:t xml:space="preserve">droit </w:t>
      </w:r>
      <w:r w:rsidR="00771530" w:rsidRPr="00CE70F3">
        <w:rPr>
          <w:rFonts w:eastAsia="Times New Roman" w:cs="Arial"/>
          <w:szCs w:val="24"/>
          <w:lang w:val="fr-CA" w:bidi="en-US"/>
        </w:rPr>
        <w:t>additionnel</w:t>
      </w:r>
      <w:r w:rsidR="00771530" w:rsidRPr="00CE70F3">
        <w:rPr>
          <w:rFonts w:cs="Arial"/>
          <w:szCs w:val="24"/>
          <w:lang w:val="fr-CA"/>
        </w:rPr>
        <w:t xml:space="preserve"> sur le vapotage</w:t>
      </w:r>
      <w:r w:rsidR="00AE37C7" w:rsidRPr="00D14570">
        <w:rPr>
          <w:lang w:val="fr-CA"/>
        </w:rPr>
        <w:t xml:space="preserve"> </w:t>
      </w:r>
      <w:r w:rsidR="00CB3B71" w:rsidRPr="00D14570">
        <w:rPr>
          <w:lang w:val="fr-CA"/>
        </w:rPr>
        <w:t>à payer, le cas échéant.</w:t>
      </w:r>
    </w:p>
    <w:p w14:paraId="27C0DE0B" w14:textId="07F20CBC" w:rsidR="00CB3B71" w:rsidRPr="00CB3B71" w:rsidRDefault="006D4591" w:rsidP="00CB3B71">
      <w:pPr>
        <w:rPr>
          <w:lang w:val="fr-CA"/>
        </w:rPr>
      </w:pPr>
      <w:r>
        <w:rPr>
          <w:lang w:val="fr-CA"/>
        </w:rPr>
        <w:t>90</w:t>
      </w:r>
      <w:r w:rsidR="00CB3B71">
        <w:rPr>
          <w:lang w:val="fr-CA"/>
        </w:rPr>
        <w:t xml:space="preserve">. </w:t>
      </w:r>
      <w:r w:rsidR="00CB3B71" w:rsidRPr="00CB3B71">
        <w:rPr>
          <w:lang w:val="fr-CA"/>
        </w:rPr>
        <w:t xml:space="preserve">La personne visée par règlement qui importe des produits de vapotage emballés doit compléter et soumettre de façon mensuelle un formulaire </w:t>
      </w:r>
      <w:hyperlink r:id="rId18" w:history="1">
        <w:r w:rsidR="00CB3B71" w:rsidRPr="00D11AD8">
          <w:rPr>
            <w:rStyle w:val="Hyperlink"/>
            <w:lang w:val="fr-CA"/>
          </w:rPr>
          <w:t>B601, Déclaration de renseignements sur le vapotage – Personne visée par règlement</w:t>
        </w:r>
      </w:hyperlink>
      <w:r w:rsidR="00CB3B71" w:rsidRPr="00CB3B71">
        <w:rPr>
          <w:lang w:val="fr-CA"/>
        </w:rPr>
        <w:t xml:space="preserve">, afin de rendre compte de son utilisation des timbres d’accise de vapotage. </w:t>
      </w:r>
    </w:p>
    <w:p w14:paraId="5A59287A" w14:textId="0BA639AF" w:rsidR="00722237" w:rsidRDefault="006D4591" w:rsidP="00CB3B71">
      <w:pPr>
        <w:rPr>
          <w:lang w:val="fr-CA"/>
        </w:rPr>
      </w:pPr>
      <w:r>
        <w:rPr>
          <w:lang w:val="fr-CA"/>
        </w:rPr>
        <w:t>91</w:t>
      </w:r>
      <w:r w:rsidR="00CB3B71">
        <w:rPr>
          <w:lang w:val="fr-CA"/>
        </w:rPr>
        <w:t xml:space="preserve">. </w:t>
      </w:r>
      <w:r w:rsidR="00CB3B71" w:rsidRPr="00CB3B71">
        <w:rPr>
          <w:lang w:val="fr-CA"/>
        </w:rPr>
        <w:t xml:space="preserve">Pour plus de renseignements, consultez </w:t>
      </w:r>
      <w:r w:rsidR="00CB3B71" w:rsidRPr="00560A42">
        <w:rPr>
          <w:i/>
          <w:lang w:val="fr-CA"/>
        </w:rPr>
        <w:t>Déclarer et verser les droits sur les produits de vapotage</w:t>
      </w:r>
      <w:r w:rsidR="00CB3B71" w:rsidRPr="00CB3B71">
        <w:rPr>
          <w:lang w:val="fr-CA"/>
        </w:rPr>
        <w:t xml:space="preserve">, au lien se trouvant dans la section </w:t>
      </w:r>
      <w:hyperlink w:anchor="Lienscommexes" w:history="1">
        <w:r w:rsidR="000E13D3" w:rsidRPr="00560A42">
          <w:rPr>
            <w:rStyle w:val="Hyperlink"/>
            <w:color w:val="auto"/>
            <w:u w:val="none"/>
            <w:lang w:val="fr-CA"/>
          </w:rPr>
          <w:t>Liens connexes</w:t>
        </w:r>
      </w:hyperlink>
      <w:r w:rsidR="00CB3B71" w:rsidRPr="00CB3B71">
        <w:rPr>
          <w:lang w:val="fr-CA"/>
        </w:rPr>
        <w:t xml:space="preserve"> de ce mémorandum.</w:t>
      </w:r>
    </w:p>
    <w:p w14:paraId="2F02380D" w14:textId="3386A072" w:rsidR="00722237" w:rsidRPr="00C17117" w:rsidRDefault="00344FF9" w:rsidP="007D6D16">
      <w:pPr>
        <w:pStyle w:val="Heading3"/>
      </w:pPr>
      <w:bookmarkStart w:id="67" w:name="SH31"/>
      <w:r w:rsidRPr="00C17117">
        <w:t>Correction</w:t>
      </w:r>
      <w:r w:rsidR="00090EA7" w:rsidRPr="00C17117">
        <w:t>s</w:t>
      </w:r>
      <w:r w:rsidRPr="00C17117">
        <w:t>, remboursement</w:t>
      </w:r>
      <w:r w:rsidR="00090EA7" w:rsidRPr="00C17117">
        <w:t>s</w:t>
      </w:r>
      <w:r w:rsidRPr="00C17117">
        <w:t>, drawback</w:t>
      </w:r>
      <w:r w:rsidR="00090EA7" w:rsidRPr="00C17117">
        <w:t>s</w:t>
      </w:r>
      <w:r w:rsidRPr="00C17117">
        <w:t>, révision</w:t>
      </w:r>
      <w:r w:rsidR="00090EA7" w:rsidRPr="00C17117">
        <w:t>s</w:t>
      </w:r>
      <w:r w:rsidRPr="00C17117">
        <w:t xml:space="preserve"> et réexamen</w:t>
      </w:r>
      <w:bookmarkEnd w:id="67"/>
      <w:r w:rsidR="00090EA7" w:rsidRPr="00C17117">
        <w:t>s</w:t>
      </w:r>
      <w:r w:rsidR="005B0F80" w:rsidRPr="00C17117">
        <w:t xml:space="preserve"> </w:t>
      </w:r>
    </w:p>
    <w:p w14:paraId="67CE4335" w14:textId="0F23DDAF" w:rsidR="00344FF9" w:rsidRPr="00C17117" w:rsidRDefault="006D4591" w:rsidP="00344FF9">
      <w:pPr>
        <w:rPr>
          <w:lang w:val="fr-CA"/>
        </w:rPr>
      </w:pPr>
      <w:r>
        <w:rPr>
          <w:lang w:val="fr-CA"/>
        </w:rPr>
        <w:t>92</w:t>
      </w:r>
      <w:r w:rsidR="00344FF9" w:rsidRPr="00C17117">
        <w:rPr>
          <w:lang w:val="fr-CA"/>
        </w:rPr>
        <w:t>. L’obligation d’effectuer une correction à la déclaration incorrecte débute lorsque l’importateur a des motifs de croire que la déclaration de l’origine, du</w:t>
      </w:r>
      <w:r w:rsidR="00982DBA">
        <w:rPr>
          <w:lang w:val="fr-CA"/>
        </w:rPr>
        <w:t xml:space="preserve"> classement tarifaire ou de la valeur </w:t>
      </w:r>
      <w:r w:rsidR="00344FF9" w:rsidRPr="00C17117">
        <w:rPr>
          <w:lang w:val="fr-CA"/>
        </w:rPr>
        <w:t xml:space="preserve">en douane est inexacte. Le délai de 90 jours accordé pour effectuer les corrections conformément à l’article 32.2 de la </w:t>
      </w:r>
      <w:r w:rsidR="00344FF9" w:rsidRPr="00560A42">
        <w:rPr>
          <w:i/>
          <w:lang w:val="fr-CA"/>
        </w:rPr>
        <w:t>Loi sur les douanes</w:t>
      </w:r>
      <w:r w:rsidR="00344FF9" w:rsidRPr="00C17117">
        <w:rPr>
          <w:lang w:val="fr-CA"/>
        </w:rPr>
        <w:t xml:space="preserve"> débute à la date à laquelle l’importateur a, ou est réputé avoir eu, des informations spécifiques qu’une déclaration est inexacte. Le défaut d’effectuer les corrections aux déclarations inexactes peut résulter en une cotisation d’une sanction administrative pécuniaire (SAP) et d’intérêts. Pour plus de renseignements, consultez la section Administration et application de ce mémorandum.</w:t>
      </w:r>
    </w:p>
    <w:p w14:paraId="6EF53A71" w14:textId="3FF067E2" w:rsidR="00344FF9" w:rsidRPr="00344FF9" w:rsidRDefault="006D4591" w:rsidP="00344FF9">
      <w:pPr>
        <w:rPr>
          <w:lang w:val="fr-CA"/>
        </w:rPr>
      </w:pPr>
      <w:r>
        <w:rPr>
          <w:lang w:val="fr-CA"/>
        </w:rPr>
        <w:t>93</w:t>
      </w:r>
      <w:r w:rsidR="00344FF9" w:rsidRPr="00C17117">
        <w:rPr>
          <w:lang w:val="fr-CA"/>
        </w:rPr>
        <w:t xml:space="preserve">. </w:t>
      </w:r>
      <w:r w:rsidR="00560A42" w:rsidRPr="00560A42">
        <w:rPr>
          <w:lang w:val="fr-CA"/>
        </w:rPr>
        <w:t xml:space="preserve">Les corrections apportées aux déclarations et les demandes de remboursement doivent être faites sur le formulaire B2, Douanes Canada – Demande de Rajustement, conformément aux dispositions pertinentes de la </w:t>
      </w:r>
      <w:r w:rsidR="00560A42" w:rsidRPr="00CE70F3">
        <w:rPr>
          <w:i/>
          <w:lang w:val="fr-CA"/>
        </w:rPr>
        <w:t>Loi sur les douanes</w:t>
      </w:r>
      <w:r w:rsidR="00560A42" w:rsidRPr="00560A42">
        <w:rPr>
          <w:lang w:val="fr-CA"/>
        </w:rPr>
        <w:t>, et selon les procédures qui se trouven</w:t>
      </w:r>
      <w:r w:rsidR="00366311">
        <w:rPr>
          <w:lang w:val="fr-CA"/>
        </w:rPr>
        <w:t xml:space="preserve">t dans le </w:t>
      </w:r>
      <w:r w:rsidR="00366311" w:rsidRPr="00366311">
        <w:rPr>
          <w:i/>
          <w:lang w:val="fr-CA"/>
        </w:rPr>
        <w:t xml:space="preserve">Mémorandum D11-6-6, </w:t>
      </w:r>
      <w:r w:rsidR="00560A42" w:rsidRPr="00366311">
        <w:rPr>
          <w:i/>
          <w:lang w:val="fr-CA"/>
        </w:rPr>
        <w:t>Motifs de croire et auto rajustements des déclarations concernant l’origine, le classement tarifaire et la valeur en douane</w:t>
      </w:r>
      <w:r w:rsidR="00560A42" w:rsidRPr="00560A42">
        <w:rPr>
          <w:lang w:val="fr-CA"/>
        </w:rPr>
        <w:t xml:space="preserve">, le </w:t>
      </w:r>
      <w:r w:rsidR="00560A42" w:rsidRPr="00366311">
        <w:rPr>
          <w:i/>
          <w:lang w:val="fr-CA"/>
        </w:rPr>
        <w:t>Mémorandum D6-2-3, Remboursement des droits</w:t>
      </w:r>
      <w:r w:rsidR="00560A42" w:rsidRPr="00560A42">
        <w:rPr>
          <w:lang w:val="fr-CA"/>
        </w:rPr>
        <w:t xml:space="preserve">, le </w:t>
      </w:r>
      <w:r w:rsidR="00560A42" w:rsidRPr="00366311">
        <w:rPr>
          <w:i/>
          <w:lang w:val="fr-CA"/>
        </w:rPr>
        <w:t>Mémorandum D6-2-6, Remboursement des droits et des taxes sur les importations non commerciales</w:t>
      </w:r>
      <w:r w:rsidR="00560A42" w:rsidRPr="00560A42">
        <w:rPr>
          <w:lang w:val="fr-CA"/>
        </w:rPr>
        <w:t xml:space="preserve"> et le </w:t>
      </w:r>
      <w:r w:rsidR="00560A42" w:rsidRPr="00366311">
        <w:rPr>
          <w:i/>
          <w:lang w:val="fr-CA"/>
        </w:rPr>
        <w:t>Mémorandum D17-2-1, Codage, Présentation et Traitement d'un Formulaire B2, Douanes Canada – Demande de Rajustement</w:t>
      </w:r>
      <w:r w:rsidR="00560A42" w:rsidRPr="00560A42">
        <w:rPr>
          <w:lang w:val="fr-CA"/>
        </w:rPr>
        <w:t>, aux liens se trouvant dans la section</w:t>
      </w:r>
      <w:r w:rsidR="00560A42">
        <w:rPr>
          <w:lang w:val="fr-CA"/>
        </w:rPr>
        <w:t xml:space="preserve"> </w:t>
      </w:r>
      <w:hyperlink w:anchor="Lienscommexes" w:history="1">
        <w:r w:rsidR="00876D4A" w:rsidRPr="00560A42">
          <w:rPr>
            <w:rStyle w:val="Hyperlink"/>
            <w:color w:val="auto"/>
            <w:u w:val="none"/>
            <w:lang w:val="fr-CA"/>
          </w:rPr>
          <w:t>Liens connexes</w:t>
        </w:r>
      </w:hyperlink>
      <w:r w:rsidR="00344FF9" w:rsidRPr="00344FF9">
        <w:rPr>
          <w:lang w:val="fr-CA"/>
        </w:rPr>
        <w:t xml:space="preserve"> de ce mémorandum.</w:t>
      </w:r>
    </w:p>
    <w:p w14:paraId="50CFFA5C" w14:textId="76EC97D2" w:rsidR="00344FF9" w:rsidRPr="00006398" w:rsidRDefault="006D4591" w:rsidP="00344FF9">
      <w:pPr>
        <w:rPr>
          <w:lang w:val="fr-CA"/>
        </w:rPr>
      </w:pPr>
      <w:r>
        <w:rPr>
          <w:lang w:val="fr-CA"/>
        </w:rPr>
        <w:t>94</w:t>
      </w:r>
      <w:r w:rsidR="00C63CA9">
        <w:rPr>
          <w:lang w:val="fr-CA"/>
        </w:rPr>
        <w:t xml:space="preserve">. </w:t>
      </w:r>
      <w:r w:rsidR="00EC3B2C" w:rsidRPr="00EC3B2C">
        <w:rPr>
          <w:lang w:val="fr-CA"/>
        </w:rPr>
        <w:t xml:space="preserve">Lorsqu’un montant de droit </w:t>
      </w:r>
      <w:r w:rsidR="00CC0D50">
        <w:rPr>
          <w:lang w:val="fr-CA"/>
        </w:rPr>
        <w:t>sur le</w:t>
      </w:r>
      <w:r w:rsidR="00EC3B2C" w:rsidRPr="00EC3B2C">
        <w:rPr>
          <w:lang w:val="fr-CA"/>
        </w:rPr>
        <w:t xml:space="preserve"> vapotage sur des marchandises commerciales doit être remboursé à l’importateur ou doit être payé à l’ASFC, l’ASFC émettra un formulaire B2-1, Douanes Canada – Relevé détaillé de rajustement (RDR), qui sert d’avis de remboursement ou de cotisation, en réponse à une demande de rajustement ou, en réponse à une révision ou un réexamen initié de l’ASFC.</w:t>
      </w:r>
      <w:r w:rsidR="00EC3B2C">
        <w:rPr>
          <w:lang w:val="fr-CA"/>
        </w:rPr>
        <w:t xml:space="preserve"> </w:t>
      </w:r>
    </w:p>
    <w:p w14:paraId="55C47842" w14:textId="1429DAAF" w:rsidR="00344FF9" w:rsidRPr="00006398" w:rsidRDefault="006D4591" w:rsidP="00344FF9">
      <w:pPr>
        <w:rPr>
          <w:lang w:val="fr-CA"/>
        </w:rPr>
      </w:pPr>
      <w:r>
        <w:rPr>
          <w:lang w:val="fr-CA"/>
        </w:rPr>
        <w:t>95</w:t>
      </w:r>
      <w:r w:rsidR="00C63CA9" w:rsidRPr="00006398">
        <w:rPr>
          <w:lang w:val="fr-CA"/>
        </w:rPr>
        <w:t xml:space="preserve">. </w:t>
      </w:r>
      <w:r w:rsidR="00344FF9" w:rsidRPr="00006398">
        <w:rPr>
          <w:lang w:val="fr-CA"/>
        </w:rPr>
        <w:t xml:space="preserve">Un drawback des droits de douane et de droit sur le vapotage peut être obtenu lorsque des produits de vapotage qui ont obtenu la mainlevée de l’ASFC sont acquittés et sont exportés ou livrés à des représentants accrédités. Une demande de drawback, accompagnée d'une renonciation de l'importateur ou de l'exportateur (car un seul des deux peut demander un drawback), peut être présentée à l’ASFC. Il ne peut y avoir de drawback du montant égal au droit d'accise prélevé en vertu du </w:t>
      </w:r>
      <w:r w:rsidR="00344FF9" w:rsidRPr="00F34AAE">
        <w:rPr>
          <w:i/>
          <w:lang w:val="fr-CA"/>
        </w:rPr>
        <w:t>Tarif des douanes</w:t>
      </w:r>
      <w:r w:rsidR="00344FF9" w:rsidRPr="00006398">
        <w:rPr>
          <w:lang w:val="fr-CA"/>
        </w:rPr>
        <w:t xml:space="preserve"> lorsque ce montant a été payé selon la </w:t>
      </w:r>
      <w:r w:rsidR="00344FF9" w:rsidRPr="00006398">
        <w:rPr>
          <w:i/>
          <w:lang w:val="fr-CA"/>
        </w:rPr>
        <w:t>Loi de 2001 sur l'accise</w:t>
      </w:r>
      <w:r w:rsidR="00344FF9" w:rsidRPr="00006398">
        <w:rPr>
          <w:lang w:val="fr-CA"/>
        </w:rPr>
        <w:t xml:space="preserve"> (p. ex. les marchandises mises dans un entrepôt d'accise immédiatement après que l’ASFC a accordé la mainlevée). Pour plus de renseignements, consultez le </w:t>
      </w:r>
      <w:r w:rsidR="00344FF9" w:rsidRPr="00EC3B2C">
        <w:rPr>
          <w:i/>
          <w:lang w:val="fr-CA"/>
        </w:rPr>
        <w:t>Mémorandum D7-4-2, Programme de drawback des droits</w:t>
      </w:r>
      <w:r w:rsidR="00344FF9" w:rsidRPr="00006398">
        <w:rPr>
          <w:lang w:val="fr-CA"/>
        </w:rPr>
        <w:t xml:space="preserve">, au lien se trouvant dans la section </w:t>
      </w:r>
      <w:hyperlink w:anchor="Lienscommexes" w:history="1">
        <w:r w:rsidR="002D4D77" w:rsidRPr="00EC3B2C">
          <w:rPr>
            <w:rStyle w:val="Hyperlink"/>
            <w:color w:val="auto"/>
            <w:u w:val="none"/>
            <w:lang w:val="fr-CA"/>
          </w:rPr>
          <w:t>Liens connexes</w:t>
        </w:r>
      </w:hyperlink>
      <w:r w:rsidR="00344FF9" w:rsidRPr="00006398">
        <w:rPr>
          <w:lang w:val="fr-CA"/>
        </w:rPr>
        <w:t xml:space="preserve"> de ce mémorandum.</w:t>
      </w:r>
    </w:p>
    <w:p w14:paraId="6D4657D6" w14:textId="38C02959" w:rsidR="00344FF9" w:rsidRPr="00344FF9" w:rsidRDefault="006D4591" w:rsidP="00344FF9">
      <w:pPr>
        <w:rPr>
          <w:lang w:val="fr-CA"/>
        </w:rPr>
      </w:pPr>
      <w:r>
        <w:rPr>
          <w:lang w:val="fr-CA"/>
        </w:rPr>
        <w:t>96</w:t>
      </w:r>
      <w:r w:rsidR="00C63CA9" w:rsidRPr="00006398">
        <w:rPr>
          <w:lang w:val="fr-CA"/>
        </w:rPr>
        <w:t xml:space="preserve">. </w:t>
      </w:r>
      <w:r w:rsidR="00344FF9" w:rsidRPr="00006398">
        <w:rPr>
          <w:lang w:val="fr-CA"/>
        </w:rPr>
        <w:t xml:space="preserve">Lorsqu’il y a trop-payé de droit sur le vapotage sur des marchandises occasionnelles (non commerciales) qui a été payé à l’ASFC, un importateur peut soumettre un </w:t>
      </w:r>
      <w:r w:rsidR="00344FF9" w:rsidRPr="00EC3B2C">
        <w:rPr>
          <w:lang w:val="fr-CA"/>
        </w:rPr>
        <w:t>formulaire B2G, Demande Informelle de Rajustement de l'ASFC</w:t>
      </w:r>
      <w:r w:rsidR="00344FF9" w:rsidRPr="00006398">
        <w:rPr>
          <w:lang w:val="fr-CA"/>
        </w:rPr>
        <w:t>, au Centre de remboursement des importations occasionnelles approprié de l’ASFC pour demander le remboursement du montant trop</w:t>
      </w:r>
      <w:r w:rsidR="00344FF9" w:rsidRPr="00344FF9">
        <w:rPr>
          <w:lang w:val="fr-CA"/>
        </w:rPr>
        <w:t xml:space="preserve">-payé. Pour plus de renseignements, consultez le </w:t>
      </w:r>
      <w:r w:rsidR="00344FF9" w:rsidRPr="00EC3B2C">
        <w:rPr>
          <w:i/>
          <w:lang w:val="fr-CA"/>
        </w:rPr>
        <w:t>Mémorandum D6-2-6, Remboursement des droits et des taxes sur les importations non commerciales</w:t>
      </w:r>
      <w:r w:rsidR="00344FF9" w:rsidRPr="00344FF9">
        <w:rPr>
          <w:lang w:val="fr-CA"/>
        </w:rPr>
        <w:t xml:space="preserve">, au lien se trouvant dans la section </w:t>
      </w:r>
      <w:hyperlink w:anchor="Lienscommexes" w:history="1">
        <w:r w:rsidR="002D4D77" w:rsidRPr="00EC3B2C">
          <w:rPr>
            <w:rStyle w:val="Hyperlink"/>
            <w:color w:val="auto"/>
            <w:u w:val="none"/>
            <w:lang w:val="fr-CA"/>
          </w:rPr>
          <w:t>Liens connexes</w:t>
        </w:r>
      </w:hyperlink>
      <w:r w:rsidR="00344FF9" w:rsidRPr="00344FF9">
        <w:rPr>
          <w:lang w:val="fr-CA"/>
        </w:rPr>
        <w:t xml:space="preserve"> de ce mémorandum.</w:t>
      </w:r>
    </w:p>
    <w:p w14:paraId="7356D736" w14:textId="0E66F165" w:rsidR="00722237" w:rsidRDefault="006D4591" w:rsidP="00344FF9">
      <w:pPr>
        <w:rPr>
          <w:lang w:val="fr-CA"/>
        </w:rPr>
      </w:pPr>
      <w:r>
        <w:rPr>
          <w:lang w:val="fr-CA"/>
        </w:rPr>
        <w:t>97</w:t>
      </w:r>
      <w:r w:rsidR="00C63CA9">
        <w:rPr>
          <w:lang w:val="fr-CA"/>
        </w:rPr>
        <w:t xml:space="preserve">. </w:t>
      </w:r>
      <w:r w:rsidR="00344FF9" w:rsidRPr="00344FF9">
        <w:rPr>
          <w:lang w:val="fr-CA"/>
        </w:rPr>
        <w:t>L’ASFC peut réviser ou réexaminer l’origine, le classement tarifaire ou la valeur en douane de sa propre initiative ou en réponse à une demande de rajustement. De cette manière, tout comme avec les droits de douanes et les taxes, l’ASFC peut cotiser tout montant de taxe de luxe non déclaré.</w:t>
      </w:r>
    </w:p>
    <w:p w14:paraId="23F0BB98" w14:textId="50B29860" w:rsidR="00722237" w:rsidRPr="00447EBA" w:rsidRDefault="004D5CA1" w:rsidP="007D6D16">
      <w:pPr>
        <w:pStyle w:val="Heading3"/>
      </w:pPr>
      <w:bookmarkStart w:id="68" w:name="SH32"/>
      <w:r w:rsidRPr="00447EBA">
        <w:lastRenderedPageBreak/>
        <w:t>Révision</w:t>
      </w:r>
      <w:bookmarkEnd w:id="68"/>
      <w:r w:rsidR="005B0F80">
        <w:t xml:space="preserve"> </w:t>
      </w:r>
    </w:p>
    <w:p w14:paraId="6D934118" w14:textId="454708C3" w:rsidR="00344FF9" w:rsidRDefault="008F2090" w:rsidP="004E5DAA">
      <w:pPr>
        <w:rPr>
          <w:lang w:val="fr-CA"/>
        </w:rPr>
      </w:pPr>
      <w:r>
        <w:rPr>
          <w:lang w:val="fr-CA"/>
        </w:rPr>
        <w:t>98</w:t>
      </w:r>
      <w:r w:rsidR="004D5CA1">
        <w:rPr>
          <w:lang w:val="fr-CA"/>
        </w:rPr>
        <w:t xml:space="preserve">. </w:t>
      </w:r>
      <w:r w:rsidR="004D5CA1" w:rsidRPr="004D5CA1">
        <w:rPr>
          <w:lang w:val="fr-CA"/>
        </w:rPr>
        <w:t xml:space="preserve">Suivant une détermination, une révision ou un réexamen de l’origine, du classement tarifaire ou de la valeur en douane faits par l’ASFC, un importateur peut demander la révision ou le réexamen de l’origine, du classement tarifaire ou de la valeur en douane en vertu de la </w:t>
      </w:r>
      <w:r w:rsidR="004D5CA1" w:rsidRPr="00033C3A">
        <w:rPr>
          <w:i/>
          <w:lang w:val="fr-CA"/>
        </w:rPr>
        <w:t>Loi sur les douanes</w:t>
      </w:r>
      <w:r w:rsidR="004D5CA1" w:rsidRPr="004D5CA1">
        <w:rPr>
          <w:lang w:val="fr-CA"/>
        </w:rPr>
        <w:t xml:space="preserve">. Pour plus de renseignements, consultez le </w:t>
      </w:r>
      <w:r w:rsidR="004D5CA1" w:rsidRPr="008266F3">
        <w:rPr>
          <w:i/>
          <w:lang w:val="fr-CA"/>
        </w:rPr>
        <w:t>Mémorandum D11-6-7, Demande de révision, de réexamen ou de révision d’une décision par le Président de l’Agence des services frontaliers du Canada en vertu de l’article 60 de la Loi</w:t>
      </w:r>
      <w:r w:rsidR="004D5CA1" w:rsidRPr="004D5CA1">
        <w:rPr>
          <w:lang w:val="fr-CA"/>
        </w:rPr>
        <w:t xml:space="preserve">, au lien se trouvent dans la section </w:t>
      </w:r>
      <w:hyperlink w:anchor="Lienscommexes" w:history="1">
        <w:r w:rsidR="002D4D77" w:rsidRPr="008266F3">
          <w:rPr>
            <w:rStyle w:val="Hyperlink"/>
            <w:color w:val="auto"/>
            <w:u w:val="none"/>
            <w:lang w:val="fr-CA"/>
          </w:rPr>
          <w:t>Liens connexes</w:t>
        </w:r>
      </w:hyperlink>
      <w:r w:rsidR="004D5CA1" w:rsidRPr="004D5CA1">
        <w:rPr>
          <w:lang w:val="fr-CA"/>
        </w:rPr>
        <w:t xml:space="preserve"> de ce mémorandum</w:t>
      </w:r>
      <w:r w:rsidR="00033C3A">
        <w:rPr>
          <w:lang w:val="fr-CA"/>
        </w:rPr>
        <w:t>.</w:t>
      </w:r>
    </w:p>
    <w:p w14:paraId="2559D0CC" w14:textId="5DB28BF7" w:rsidR="00344FF9" w:rsidRPr="00447EBA" w:rsidRDefault="00033C3A" w:rsidP="007D6D16">
      <w:pPr>
        <w:pStyle w:val="Heading3"/>
      </w:pPr>
      <w:bookmarkStart w:id="69" w:name="SH33"/>
      <w:r w:rsidRPr="00447EBA">
        <w:t>Tenue de registres</w:t>
      </w:r>
      <w:bookmarkEnd w:id="69"/>
      <w:r w:rsidR="005B0F80">
        <w:t xml:space="preserve"> </w:t>
      </w:r>
    </w:p>
    <w:p w14:paraId="39F6B89A" w14:textId="29AD1E15" w:rsidR="00344FF9" w:rsidRDefault="0042038F" w:rsidP="004E5DAA">
      <w:pPr>
        <w:rPr>
          <w:lang w:val="fr-CA"/>
        </w:rPr>
      </w:pPr>
      <w:r>
        <w:rPr>
          <w:lang w:val="fr-CA"/>
        </w:rPr>
        <w:t>99</w:t>
      </w:r>
      <w:r w:rsidR="00033C3A">
        <w:rPr>
          <w:lang w:val="fr-CA"/>
        </w:rPr>
        <w:t xml:space="preserve">. </w:t>
      </w:r>
      <w:r w:rsidR="00033C3A" w:rsidRPr="00033C3A">
        <w:rPr>
          <w:lang w:val="fr-CA"/>
        </w:rPr>
        <w:t xml:space="preserve">Les titulaires de licence de produits de vapotage, ainsi que les personnes visées par règlement relativement aux produits de vapotage doivent tenir, aux termes du paragraphe 206(1) de la </w:t>
      </w:r>
      <w:r w:rsidR="00033C3A" w:rsidRPr="00033C3A">
        <w:rPr>
          <w:i/>
          <w:lang w:val="fr-CA"/>
        </w:rPr>
        <w:t>Loi sur l’accise de 2001</w:t>
      </w:r>
      <w:r w:rsidR="00033C3A" w:rsidRPr="00033C3A">
        <w:rPr>
          <w:lang w:val="fr-CA"/>
        </w:rPr>
        <w:t xml:space="preserve">, des registres adéquats pour attester leur observation de la </w:t>
      </w:r>
      <w:r w:rsidR="00033C3A" w:rsidRPr="008266F3">
        <w:rPr>
          <w:i/>
          <w:lang w:val="fr-CA"/>
        </w:rPr>
        <w:t>Loi</w:t>
      </w:r>
      <w:r w:rsidR="00033C3A" w:rsidRPr="00033C3A">
        <w:rPr>
          <w:lang w:val="fr-CA"/>
        </w:rPr>
        <w:t>. Cela inclut la quantité de produits de vapotage qu’il produit, reçoit, utilise, emballe, façonne de nouveau ou vend, ou dont il dispose. Les registres doivent aussi attester des renseignements rapportés concernant la possession et l’utilisation de tout timbre d’accise de vapotage émis</w:t>
      </w:r>
      <w:r w:rsidR="00636DB6">
        <w:rPr>
          <w:lang w:val="fr-CA"/>
        </w:rPr>
        <w:t>.</w:t>
      </w:r>
    </w:p>
    <w:p w14:paraId="05A353E2" w14:textId="728F195F" w:rsidR="00033C3A" w:rsidRPr="00033C3A" w:rsidRDefault="0042038F" w:rsidP="00033C3A">
      <w:pPr>
        <w:rPr>
          <w:lang w:val="fr-CA"/>
        </w:rPr>
      </w:pPr>
      <w:r>
        <w:rPr>
          <w:lang w:val="fr-CA"/>
        </w:rPr>
        <w:t>100</w:t>
      </w:r>
      <w:r w:rsidR="00033C3A">
        <w:rPr>
          <w:lang w:val="fr-CA"/>
        </w:rPr>
        <w:t xml:space="preserve">. </w:t>
      </w:r>
      <w:r w:rsidR="00033C3A" w:rsidRPr="00033C3A">
        <w:rPr>
          <w:lang w:val="fr-CA"/>
        </w:rPr>
        <w:t>Les registres doivent être conservés six ans après le dernier jour de l'année d'imposition à laquelle les documents se rapportent.</w:t>
      </w:r>
    </w:p>
    <w:p w14:paraId="3C6D7EC6" w14:textId="6679E733" w:rsidR="00344FF9" w:rsidRDefault="0042038F" w:rsidP="00033C3A">
      <w:pPr>
        <w:rPr>
          <w:lang w:val="fr-CA"/>
        </w:rPr>
      </w:pPr>
      <w:r>
        <w:rPr>
          <w:lang w:val="fr-CA"/>
        </w:rPr>
        <w:t>101</w:t>
      </w:r>
      <w:r w:rsidR="00033C3A">
        <w:rPr>
          <w:lang w:val="fr-CA"/>
        </w:rPr>
        <w:t xml:space="preserve">. </w:t>
      </w:r>
      <w:r w:rsidR="00033C3A" w:rsidRPr="00033C3A">
        <w:rPr>
          <w:lang w:val="fr-CA"/>
        </w:rPr>
        <w:t>Pour plus d</w:t>
      </w:r>
      <w:r w:rsidR="00C26B4C">
        <w:rPr>
          <w:lang w:val="fr-CA"/>
        </w:rPr>
        <w:t xml:space="preserve">e renseignements, consultez le </w:t>
      </w:r>
      <w:r w:rsidR="00C26B4C" w:rsidRPr="00C26B4C">
        <w:rPr>
          <w:i/>
          <w:lang w:val="fr-CA"/>
        </w:rPr>
        <w:t>M</w:t>
      </w:r>
      <w:r w:rsidR="00033C3A" w:rsidRPr="00C26B4C">
        <w:rPr>
          <w:i/>
          <w:lang w:val="fr-CA"/>
        </w:rPr>
        <w:t>émorandum sur les droits d’accise</w:t>
      </w:r>
      <w:r w:rsidR="00033C3A" w:rsidRPr="00033C3A">
        <w:rPr>
          <w:lang w:val="fr-CA"/>
        </w:rPr>
        <w:t xml:space="preserve"> </w:t>
      </w:r>
      <w:r w:rsidR="00033C3A" w:rsidRPr="008266F3">
        <w:rPr>
          <w:i/>
          <w:lang w:val="fr-CA"/>
        </w:rPr>
        <w:t>EDM9-1-1, Exigences générales en matière de livres et de registres</w:t>
      </w:r>
      <w:r w:rsidR="00033C3A" w:rsidRPr="00033C3A">
        <w:rPr>
          <w:lang w:val="fr-CA"/>
        </w:rPr>
        <w:t xml:space="preserve">, au lien se trouvant dans la section </w:t>
      </w:r>
      <w:hyperlink w:anchor="Lienscommexes" w:history="1">
        <w:r w:rsidR="002D4D77" w:rsidRPr="008266F3">
          <w:rPr>
            <w:rStyle w:val="Hyperlink"/>
            <w:color w:val="auto"/>
            <w:u w:val="none"/>
            <w:lang w:val="fr-CA"/>
          </w:rPr>
          <w:t>Liens connexes</w:t>
        </w:r>
      </w:hyperlink>
      <w:r w:rsidR="00033C3A" w:rsidRPr="00033C3A">
        <w:rPr>
          <w:lang w:val="fr-CA"/>
        </w:rPr>
        <w:t xml:space="preserve"> de ce mémorandum.</w:t>
      </w:r>
    </w:p>
    <w:p w14:paraId="1233636F" w14:textId="74C2AD45" w:rsidR="00344FF9" w:rsidRPr="00447EBA" w:rsidRDefault="00033C3A" w:rsidP="007D6D16">
      <w:pPr>
        <w:pStyle w:val="Heading3"/>
      </w:pPr>
      <w:bookmarkStart w:id="70" w:name="SH34"/>
      <w:r w:rsidRPr="00447EBA">
        <w:t>Administration et application</w:t>
      </w:r>
      <w:bookmarkEnd w:id="70"/>
      <w:r w:rsidR="006A7EE9">
        <w:t xml:space="preserve"> </w:t>
      </w:r>
    </w:p>
    <w:p w14:paraId="6AF25E2B" w14:textId="432AC33E" w:rsidR="00033C3A" w:rsidRPr="00033C3A" w:rsidRDefault="00A0025E" w:rsidP="00033C3A">
      <w:pPr>
        <w:rPr>
          <w:lang w:val="fr-CA"/>
        </w:rPr>
      </w:pPr>
      <w:r>
        <w:rPr>
          <w:lang w:val="fr-CA"/>
        </w:rPr>
        <w:t>102</w:t>
      </w:r>
      <w:r w:rsidR="00033C3A">
        <w:rPr>
          <w:lang w:val="fr-CA"/>
        </w:rPr>
        <w:t xml:space="preserve">. </w:t>
      </w:r>
      <w:r w:rsidR="00033C3A" w:rsidRPr="00033C3A">
        <w:rPr>
          <w:lang w:val="fr-CA"/>
        </w:rPr>
        <w:t xml:space="preserve">Les cadres législatif et administratif de la </w:t>
      </w:r>
      <w:r w:rsidR="00033C3A" w:rsidRPr="000779B7">
        <w:rPr>
          <w:i/>
          <w:lang w:val="fr-CA"/>
        </w:rPr>
        <w:t>Loi</w:t>
      </w:r>
      <w:r w:rsidR="00033C3A" w:rsidRPr="00033C3A">
        <w:rPr>
          <w:lang w:val="fr-CA"/>
        </w:rPr>
        <w:t xml:space="preserve"> sur les douanes dans lequel doivent se faire l'importation et la déclaration en détail, y compris les pénalités, les intérêts et les mesures d'exécution, s'appliquent aux produits de vapotage jusqu'au moment de la mainlevée et de la déclaration en détail </w:t>
      </w:r>
      <w:r w:rsidR="00982DBA">
        <w:rPr>
          <w:lang w:val="fr-CA"/>
        </w:rPr>
        <w:t xml:space="preserve">définitive à l’ASFC. Une fois </w:t>
      </w:r>
      <w:r w:rsidR="00033C3A" w:rsidRPr="00033C3A">
        <w:rPr>
          <w:lang w:val="fr-CA"/>
        </w:rPr>
        <w:t xml:space="preserve">que l’ASFC a accordé la mainlevée, les dispositions de la </w:t>
      </w:r>
      <w:r w:rsidR="00033C3A" w:rsidRPr="00630502">
        <w:rPr>
          <w:i/>
          <w:lang w:val="fr-CA"/>
        </w:rPr>
        <w:t>Loi de 2001 sur l'accise</w:t>
      </w:r>
      <w:r w:rsidR="00033C3A" w:rsidRPr="00033C3A">
        <w:rPr>
          <w:lang w:val="fr-CA"/>
        </w:rPr>
        <w:t xml:space="preserve"> s'appliquent comme si les marchandises avaient été fabriquées au Canada.</w:t>
      </w:r>
    </w:p>
    <w:p w14:paraId="6F139353" w14:textId="61F2812D" w:rsidR="00033C3A" w:rsidRPr="00033C3A" w:rsidRDefault="00A0025E" w:rsidP="00033C3A">
      <w:pPr>
        <w:rPr>
          <w:lang w:val="fr-CA"/>
        </w:rPr>
      </w:pPr>
      <w:r>
        <w:rPr>
          <w:lang w:val="fr-CA"/>
        </w:rPr>
        <w:t>103</w:t>
      </w:r>
      <w:r w:rsidR="00033C3A">
        <w:rPr>
          <w:lang w:val="fr-CA"/>
        </w:rPr>
        <w:t xml:space="preserve">. </w:t>
      </w:r>
      <w:r w:rsidR="00033C3A" w:rsidRPr="00033C3A">
        <w:rPr>
          <w:i/>
          <w:lang w:val="fr-CA"/>
        </w:rPr>
        <w:t>La Loi de 2001 sur l'accise</w:t>
      </w:r>
      <w:r w:rsidR="00033C3A" w:rsidRPr="00033C3A">
        <w:rPr>
          <w:lang w:val="fr-CA"/>
        </w:rPr>
        <w:t xml:space="preserve"> prévoit des pénalités pour différentes circonstances de non observation à l’égard du droit sur le vapotage ainsi que du régime </w:t>
      </w:r>
      <w:r w:rsidR="00033C3A" w:rsidRPr="00006398">
        <w:rPr>
          <w:lang w:val="fr-CA"/>
        </w:rPr>
        <w:t xml:space="preserve">d’estampillage des produits de vapotage. Pour plus de renseignements, consultez la </w:t>
      </w:r>
      <w:r w:rsidR="00033C3A" w:rsidRPr="00006398">
        <w:rPr>
          <w:i/>
          <w:lang w:val="fr-CA"/>
        </w:rPr>
        <w:t>Loi de 2001 sur l'accise</w:t>
      </w:r>
      <w:r w:rsidR="00033C3A" w:rsidRPr="00006398">
        <w:rPr>
          <w:lang w:val="fr-CA"/>
        </w:rPr>
        <w:t>, au lien se</w:t>
      </w:r>
      <w:r w:rsidR="00033C3A" w:rsidRPr="00033C3A">
        <w:rPr>
          <w:lang w:val="fr-CA"/>
        </w:rPr>
        <w:t xml:space="preserve"> trouvant dans la section </w:t>
      </w:r>
      <w:hyperlink w:anchor="Lienscommexes" w:history="1">
        <w:r w:rsidR="002D4D77" w:rsidRPr="000779B7">
          <w:rPr>
            <w:rStyle w:val="Hyperlink"/>
            <w:color w:val="auto"/>
            <w:u w:val="none"/>
            <w:lang w:val="fr-CA"/>
          </w:rPr>
          <w:t>Liens connexes</w:t>
        </w:r>
      </w:hyperlink>
      <w:r w:rsidR="00033C3A" w:rsidRPr="00ED3625">
        <w:rPr>
          <w:lang w:val="fr-CA"/>
        </w:rPr>
        <w:t xml:space="preserve"> </w:t>
      </w:r>
      <w:r w:rsidR="00033C3A" w:rsidRPr="00033C3A">
        <w:rPr>
          <w:lang w:val="fr-CA"/>
        </w:rPr>
        <w:t>de ce mémorandum.</w:t>
      </w:r>
    </w:p>
    <w:p w14:paraId="5D07D328" w14:textId="0ED54ECF" w:rsidR="00033C3A" w:rsidRPr="00033C3A" w:rsidRDefault="00A0025E" w:rsidP="00033C3A">
      <w:pPr>
        <w:rPr>
          <w:lang w:val="fr-CA"/>
        </w:rPr>
      </w:pPr>
      <w:r>
        <w:rPr>
          <w:lang w:val="fr-CA"/>
        </w:rPr>
        <w:t>104</w:t>
      </w:r>
      <w:r w:rsidR="00033C3A">
        <w:rPr>
          <w:lang w:val="fr-CA"/>
        </w:rPr>
        <w:t xml:space="preserve">. </w:t>
      </w:r>
      <w:r w:rsidR="00033C3A" w:rsidRPr="00033C3A">
        <w:rPr>
          <w:lang w:val="fr-CA"/>
        </w:rPr>
        <w:t>Les importations peuvent être assujetties à un examen au moment de l'importation et à une vérification après la mainlevée pour s’assurer de la conformité avec les programmes de l’origine, du classement tarifaire, de la valeur en douane et du marquage, ainsi qu’à toutes autres dispositions ou programmes applicables adminis</w:t>
      </w:r>
      <w:r w:rsidR="00982DBA">
        <w:rPr>
          <w:lang w:val="fr-CA"/>
        </w:rPr>
        <w:t xml:space="preserve">trés </w:t>
      </w:r>
      <w:r w:rsidR="00033C3A" w:rsidRPr="00033C3A">
        <w:rPr>
          <w:lang w:val="fr-CA"/>
        </w:rPr>
        <w:t>par l'ASFC. Si l'ASFC identifie une situation de non-conformité, en plus des cotisations de tous droits et taxes, des pénalités et des intérêts pourraient être imposés, le cas échéant.</w:t>
      </w:r>
    </w:p>
    <w:p w14:paraId="6690A9C3" w14:textId="4E4ADC38" w:rsidR="00344FF9" w:rsidRDefault="00A0025E" w:rsidP="00033C3A">
      <w:pPr>
        <w:rPr>
          <w:lang w:val="fr-CA"/>
        </w:rPr>
      </w:pPr>
      <w:r>
        <w:rPr>
          <w:lang w:val="fr-CA"/>
        </w:rPr>
        <w:t>105</w:t>
      </w:r>
      <w:r w:rsidR="00033C3A">
        <w:rPr>
          <w:lang w:val="fr-CA"/>
        </w:rPr>
        <w:t xml:space="preserve">. </w:t>
      </w:r>
      <w:r w:rsidR="00033C3A" w:rsidRPr="00033C3A">
        <w:rPr>
          <w:lang w:val="fr-CA"/>
        </w:rPr>
        <w:t xml:space="preserve">Pour plus de renseignements, consultez le </w:t>
      </w:r>
      <w:r w:rsidR="00033C3A" w:rsidRPr="000779B7">
        <w:rPr>
          <w:i/>
          <w:lang w:val="fr-CA"/>
        </w:rPr>
        <w:t>Mémorandum D11-6-5, Dispositions relatives aux intérêts et aux pénalités : déterminations, classements ou appréciations et révisions ou réexamens et exonérations de droits</w:t>
      </w:r>
      <w:r w:rsidR="00033C3A" w:rsidRPr="00033C3A">
        <w:rPr>
          <w:lang w:val="fr-CA"/>
        </w:rPr>
        <w:t xml:space="preserve"> et le </w:t>
      </w:r>
      <w:r w:rsidR="00033C3A" w:rsidRPr="000779B7">
        <w:rPr>
          <w:i/>
          <w:lang w:val="fr-CA"/>
        </w:rPr>
        <w:t>Mémorandum D22-1-1, Régime de sanctions administratives pécuniaires et la Loi sur les douanes</w:t>
      </w:r>
      <w:r w:rsidR="00033C3A" w:rsidRPr="00033C3A">
        <w:rPr>
          <w:lang w:val="fr-CA"/>
        </w:rPr>
        <w:t xml:space="preserve">, aux liens se trouvant dans la section </w:t>
      </w:r>
      <w:hyperlink w:anchor="Lienscommexes" w:history="1">
        <w:r w:rsidR="002D4D77" w:rsidRPr="00B60E80">
          <w:rPr>
            <w:rStyle w:val="Hyperlink"/>
            <w:color w:val="auto"/>
            <w:u w:val="none"/>
            <w:lang w:val="fr-CA"/>
          </w:rPr>
          <w:t>Liens connexes</w:t>
        </w:r>
      </w:hyperlink>
      <w:r w:rsidR="00033C3A" w:rsidRPr="00C71630">
        <w:rPr>
          <w:lang w:val="fr-CA"/>
        </w:rPr>
        <w:t xml:space="preserve"> </w:t>
      </w:r>
      <w:r w:rsidR="00033C3A" w:rsidRPr="00033C3A">
        <w:rPr>
          <w:lang w:val="fr-CA"/>
        </w:rPr>
        <w:t>de ce mémorandum.</w:t>
      </w:r>
    </w:p>
    <w:p w14:paraId="292F1DEE" w14:textId="51128736" w:rsidR="00344FF9" w:rsidRDefault="00033C3A" w:rsidP="007D6D16">
      <w:pPr>
        <w:pStyle w:val="Heading3"/>
      </w:pPr>
      <w:bookmarkStart w:id="71" w:name="SH35"/>
      <w:r w:rsidRPr="00447EBA">
        <w:t>Renseignements supplémentaires</w:t>
      </w:r>
      <w:bookmarkEnd w:id="71"/>
      <w:r w:rsidR="006A7EE9">
        <w:t xml:space="preserve"> </w:t>
      </w:r>
    </w:p>
    <w:p w14:paraId="12FEBBBD" w14:textId="5121E07F" w:rsidR="0039536A" w:rsidRPr="009C65D4" w:rsidRDefault="00A0025E" w:rsidP="0039536A">
      <w:pPr>
        <w:rPr>
          <w:rFonts w:eastAsia="Times New Roman" w:cs="Arial"/>
          <w:color w:val="333333"/>
          <w:szCs w:val="24"/>
          <w:lang w:val="fr-CA" w:bidi="en-US"/>
        </w:rPr>
      </w:pPr>
      <w:r w:rsidRPr="009C65D4">
        <w:rPr>
          <w:lang w:val="fr-CA"/>
        </w:rPr>
        <w:t>106</w:t>
      </w:r>
      <w:r w:rsidR="00B60E80" w:rsidRPr="009C65D4">
        <w:rPr>
          <w:lang w:val="fr-CA"/>
        </w:rPr>
        <w:t>. Pour plus de renseignements</w:t>
      </w:r>
      <w:r w:rsidR="0039536A" w:rsidRPr="009C65D4">
        <w:rPr>
          <w:lang w:val="fr-CA"/>
        </w:rPr>
        <w:t xml:space="preserve"> </w:t>
      </w:r>
      <w:r w:rsidR="0039536A" w:rsidRPr="009C65D4">
        <w:rPr>
          <w:rFonts w:eastAsia="Times New Roman" w:cs="Arial"/>
          <w:color w:val="333333"/>
          <w:szCs w:val="24"/>
          <w:lang w:val="fr-CA" w:bidi="en-US"/>
        </w:rPr>
        <w:t xml:space="preserve">sur le cadre des droits d'accise sur le vapotage, consultez </w:t>
      </w:r>
      <w:hyperlink r:id="rId19" w:history="1">
        <w:r w:rsidR="0039536A" w:rsidRPr="009C65D4">
          <w:rPr>
            <w:rStyle w:val="Hyperlink"/>
            <w:rFonts w:eastAsia="Times New Roman" w:cs="Arial"/>
            <w:szCs w:val="24"/>
            <w:lang w:val="fr-CA" w:bidi="en-US"/>
          </w:rPr>
          <w:t>Droits d'accise sur les produits de vapotage - Canada.ca</w:t>
        </w:r>
      </w:hyperlink>
    </w:p>
    <w:p w14:paraId="0A3396A2" w14:textId="77777777" w:rsidR="004F02E7" w:rsidRDefault="004F02E7" w:rsidP="000A6694">
      <w:pPr>
        <w:pStyle w:val="Heading2"/>
      </w:pPr>
      <w:bookmarkStart w:id="72" w:name="_Annexe_A"/>
      <w:bookmarkStart w:id="73" w:name="SH36"/>
      <w:bookmarkEnd w:id="72"/>
    </w:p>
    <w:p w14:paraId="5A76D1C5" w14:textId="6DFC3375" w:rsidR="00303146" w:rsidRPr="000A6694" w:rsidRDefault="00CD4046" w:rsidP="000A6694">
      <w:pPr>
        <w:pStyle w:val="Heading2"/>
      </w:pPr>
      <w:bookmarkStart w:id="74" w:name="_Annexe_A_1"/>
      <w:bookmarkEnd w:id="73"/>
      <w:bookmarkEnd w:id="74"/>
      <w:r w:rsidRPr="000A6694">
        <w:t>Annexe A</w:t>
      </w:r>
      <w:r w:rsidR="00BA2C82" w:rsidRPr="000A6694">
        <w:t xml:space="preserve"> </w:t>
      </w:r>
    </w:p>
    <w:p w14:paraId="31D08FD7" w14:textId="433607E9" w:rsidR="00AD444F" w:rsidRDefault="004E1C04" w:rsidP="004F02E7">
      <w:pPr>
        <w:rPr>
          <w:b/>
          <w:lang w:val="fr-CA"/>
        </w:rPr>
      </w:pPr>
      <w:r w:rsidRPr="004E1C04">
        <w:rPr>
          <w:b/>
          <w:bCs/>
          <w:lang w:val="fr-CA"/>
        </w:rPr>
        <w:t>Liste SH : marchandises qui pourraient être visées par le droit sur le vapotage et le timbre d’accise de vapotage. Pour les numéros de classement les plus à jour, veuillez consulter </w:t>
      </w:r>
      <w:r w:rsidR="00AD444F">
        <w:rPr>
          <w:b/>
          <w:lang w:val="fr-CA"/>
        </w:rPr>
        <w:t xml:space="preserve">le </w:t>
      </w:r>
      <w:r w:rsidR="00AD444F" w:rsidRPr="00712DC9">
        <w:rPr>
          <w:b/>
          <w:i/>
          <w:lang w:val="fr-CA"/>
        </w:rPr>
        <w:t>Tarif des Douanes</w:t>
      </w:r>
      <w:r w:rsidR="00AD444F">
        <w:rPr>
          <w:b/>
          <w:lang w:val="fr-CA"/>
        </w:rPr>
        <w:t xml:space="preserve"> au lien qui se trouve dans les </w:t>
      </w:r>
      <w:hyperlink w:anchor="Lienscommexes" w:history="1">
        <w:r w:rsidR="00AD444F" w:rsidRPr="00712DC9">
          <w:rPr>
            <w:rStyle w:val="Hyperlink"/>
            <w:b/>
            <w:color w:val="auto"/>
            <w:u w:val="none"/>
            <w:lang w:val="fr-CA"/>
          </w:rPr>
          <w:t>Liens connexes</w:t>
        </w:r>
      </w:hyperlink>
      <w:r w:rsidR="00AD444F" w:rsidRPr="000A5AFC">
        <w:rPr>
          <w:b/>
          <w:lang w:val="fr-CA"/>
        </w:rPr>
        <w:t xml:space="preserve"> </w:t>
      </w:r>
      <w:r w:rsidR="00AD444F">
        <w:rPr>
          <w:b/>
          <w:lang w:val="fr-CA"/>
        </w:rPr>
        <w:t xml:space="preserve">de ce mémorandum. </w:t>
      </w:r>
    </w:p>
    <w:p w14:paraId="0ADA424D" w14:textId="77777777" w:rsidR="00DA78DB" w:rsidRDefault="00DA78DB" w:rsidP="004F02E7">
      <w:pPr>
        <w:rPr>
          <w:b/>
          <w:lang w:val="fr-CA"/>
        </w:rPr>
      </w:pPr>
    </w:p>
    <w:tbl>
      <w:tblPr>
        <w:tblW w:w="0" w:type="auto"/>
        <w:tblInd w:w="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78"/>
        <w:gridCol w:w="4790"/>
      </w:tblGrid>
      <w:tr w:rsidR="0056738C" w:rsidRPr="0056738C" w14:paraId="57A1D38A" w14:textId="77777777" w:rsidTr="00DA48E7">
        <w:trPr>
          <w:trHeight w:val="364"/>
        </w:trPr>
        <w:tc>
          <w:tcPr>
            <w:tcW w:w="4678" w:type="dxa"/>
            <w:shd w:val="clear" w:color="auto" w:fill="BDBDBD"/>
          </w:tcPr>
          <w:p w14:paraId="49C2FD96" w14:textId="77777777" w:rsidR="0056738C" w:rsidRPr="0056738C" w:rsidRDefault="0056738C" w:rsidP="0056738C">
            <w:pPr>
              <w:widowControl w:val="0"/>
              <w:autoSpaceDE w:val="0"/>
              <w:autoSpaceDN w:val="0"/>
              <w:spacing w:after="0" w:line="236" w:lineRule="exact"/>
              <w:ind w:left="101"/>
              <w:rPr>
                <w:rFonts w:ascii="Times New Roman" w:eastAsia="Times New Roman" w:hAnsi="Times New Roman" w:cs="Times New Roman"/>
                <w:b/>
                <w:sz w:val="21"/>
                <w:lang w:val="fr-FR" w:eastAsia="fr-FR" w:bidi="fr-FR"/>
              </w:rPr>
            </w:pPr>
            <w:r w:rsidRPr="0056738C">
              <w:rPr>
                <w:rFonts w:ascii="Times New Roman" w:eastAsia="Times New Roman" w:hAnsi="Times New Roman" w:cs="Times New Roman"/>
                <w:b/>
                <w:sz w:val="21"/>
                <w:lang w:val="fr-FR" w:eastAsia="fr-FR" w:bidi="fr-FR"/>
              </w:rPr>
              <w:t>Produits de vapotage</w:t>
            </w:r>
          </w:p>
        </w:tc>
        <w:tc>
          <w:tcPr>
            <w:tcW w:w="4790" w:type="dxa"/>
            <w:shd w:val="clear" w:color="auto" w:fill="BDBDBD"/>
          </w:tcPr>
          <w:p w14:paraId="58873FA7" w14:textId="77777777" w:rsidR="0056738C" w:rsidRPr="0056738C" w:rsidRDefault="0056738C" w:rsidP="0056738C">
            <w:pPr>
              <w:widowControl w:val="0"/>
              <w:autoSpaceDE w:val="0"/>
              <w:autoSpaceDN w:val="0"/>
              <w:spacing w:after="0" w:line="236" w:lineRule="exact"/>
              <w:ind w:left="118"/>
              <w:rPr>
                <w:rFonts w:ascii="Times New Roman" w:eastAsia="Times New Roman" w:hAnsi="Times New Roman" w:cs="Times New Roman"/>
                <w:b/>
                <w:sz w:val="21"/>
                <w:lang w:val="fr-FR" w:eastAsia="fr-FR" w:bidi="fr-FR"/>
              </w:rPr>
            </w:pPr>
            <w:r w:rsidRPr="0056738C">
              <w:rPr>
                <w:rFonts w:ascii="Times New Roman" w:eastAsia="Times New Roman" w:hAnsi="Times New Roman" w:cs="Times New Roman"/>
                <w:b/>
                <w:sz w:val="21"/>
                <w:lang w:val="fr-FR" w:eastAsia="fr-FR" w:bidi="fr-FR"/>
              </w:rPr>
              <w:t>Classement tarifaire</w:t>
            </w:r>
          </w:p>
        </w:tc>
      </w:tr>
      <w:tr w:rsidR="0056738C" w:rsidRPr="00CE70F3" w14:paraId="3AAD70F1" w14:textId="77777777" w:rsidTr="00DA48E7">
        <w:trPr>
          <w:trHeight w:val="2654"/>
        </w:trPr>
        <w:tc>
          <w:tcPr>
            <w:tcW w:w="4678" w:type="dxa"/>
          </w:tcPr>
          <w:p w14:paraId="763D4838" w14:textId="77777777" w:rsidR="0056738C" w:rsidRPr="0056738C" w:rsidRDefault="0056738C" w:rsidP="0056738C">
            <w:pPr>
              <w:widowControl w:val="0"/>
              <w:autoSpaceDE w:val="0"/>
              <w:autoSpaceDN w:val="0"/>
              <w:spacing w:before="10" w:after="0" w:line="240" w:lineRule="auto"/>
              <w:ind w:left="101"/>
              <w:rPr>
                <w:rFonts w:ascii="Times New Roman" w:eastAsia="Times New Roman" w:hAnsi="Times New Roman" w:cs="Times New Roman"/>
                <w:sz w:val="21"/>
                <w:lang w:val="fr-FR" w:eastAsia="fr-FR" w:bidi="fr-FR"/>
              </w:rPr>
            </w:pPr>
            <w:r w:rsidRPr="0056738C">
              <w:rPr>
                <w:rFonts w:ascii="Times New Roman" w:eastAsia="Times New Roman" w:hAnsi="Times New Roman" w:cs="Times New Roman"/>
                <w:sz w:val="21"/>
                <w:lang w:val="fr-FR" w:eastAsia="fr-FR" w:bidi="fr-FR"/>
              </w:rPr>
              <w:lastRenderedPageBreak/>
              <w:t>Produits de vapotage qui sont des dispositifs qui contiennent des substances de vapotage</w:t>
            </w:r>
          </w:p>
        </w:tc>
        <w:tc>
          <w:tcPr>
            <w:tcW w:w="4790" w:type="dxa"/>
          </w:tcPr>
          <w:p w14:paraId="28088C8C" w14:textId="77777777" w:rsidR="0056738C" w:rsidRPr="0056738C" w:rsidRDefault="0056738C" w:rsidP="0056738C">
            <w:pPr>
              <w:widowControl w:val="0"/>
              <w:autoSpaceDE w:val="0"/>
              <w:autoSpaceDN w:val="0"/>
              <w:spacing w:before="10" w:after="0" w:line="240" w:lineRule="auto"/>
              <w:ind w:left="118"/>
              <w:rPr>
                <w:rFonts w:ascii="Times New Roman" w:eastAsia="Times New Roman" w:hAnsi="Times New Roman" w:cs="Times New Roman"/>
                <w:sz w:val="21"/>
                <w:lang w:val="fr-FR" w:eastAsia="fr-FR" w:bidi="fr-FR"/>
              </w:rPr>
            </w:pPr>
            <w:r w:rsidRPr="0056738C">
              <w:rPr>
                <w:rFonts w:ascii="Times New Roman" w:eastAsia="Times New Roman" w:hAnsi="Times New Roman" w:cs="Times New Roman"/>
                <w:sz w:val="21"/>
                <w:lang w:val="fr-FR" w:eastAsia="fr-FR" w:bidi="fr-FR"/>
              </w:rPr>
              <w:t>2404.12.00.00 – jetable, avec des substances de vapotage incluses qui ne contiennent pas de tabac mais qui contiennent de la nicotine</w:t>
            </w:r>
          </w:p>
          <w:p w14:paraId="6B04A89B" w14:textId="77777777" w:rsidR="0056738C" w:rsidRPr="0056738C" w:rsidRDefault="0056738C" w:rsidP="0056738C">
            <w:pPr>
              <w:widowControl w:val="0"/>
              <w:autoSpaceDE w:val="0"/>
              <w:autoSpaceDN w:val="0"/>
              <w:spacing w:before="108" w:after="0" w:line="240" w:lineRule="auto"/>
              <w:ind w:left="118"/>
              <w:rPr>
                <w:rFonts w:ascii="Times New Roman" w:eastAsia="Times New Roman" w:hAnsi="Times New Roman" w:cs="Times New Roman"/>
                <w:sz w:val="21"/>
                <w:lang w:val="fr-FR" w:eastAsia="fr-FR" w:bidi="fr-FR"/>
              </w:rPr>
            </w:pPr>
            <w:r w:rsidRPr="0056738C">
              <w:rPr>
                <w:rFonts w:ascii="Times New Roman" w:eastAsia="Times New Roman" w:hAnsi="Times New Roman" w:cs="Times New Roman"/>
                <w:sz w:val="21"/>
                <w:lang w:val="fr-FR" w:eastAsia="fr-FR" w:bidi="fr-FR"/>
              </w:rPr>
              <w:t>2404.19.00.00 – jetable, avec des substances de vapotage incluses qui contiennent ni tabac ni nicotine</w:t>
            </w:r>
          </w:p>
          <w:p w14:paraId="2CC522AB" w14:textId="77777777" w:rsidR="0056738C" w:rsidRPr="0056738C" w:rsidRDefault="0056738C" w:rsidP="0056738C">
            <w:pPr>
              <w:widowControl w:val="0"/>
              <w:autoSpaceDE w:val="0"/>
              <w:autoSpaceDN w:val="0"/>
              <w:spacing w:before="126" w:after="0" w:line="240" w:lineRule="auto"/>
              <w:ind w:left="118" w:right="258"/>
              <w:rPr>
                <w:rFonts w:ascii="Times New Roman" w:eastAsia="Times New Roman" w:hAnsi="Times New Roman" w:cs="Times New Roman"/>
                <w:sz w:val="21"/>
                <w:lang w:val="fr-FR" w:eastAsia="fr-FR" w:bidi="fr-FR"/>
              </w:rPr>
            </w:pPr>
            <w:r w:rsidRPr="0056738C">
              <w:rPr>
                <w:rFonts w:ascii="Times New Roman" w:eastAsia="Times New Roman" w:hAnsi="Times New Roman" w:cs="Times New Roman"/>
                <w:sz w:val="21"/>
                <w:lang w:val="fr-FR" w:eastAsia="fr-FR" w:bidi="fr-FR"/>
              </w:rPr>
              <w:t>8543.40.00.10 – réutilisable, avec des substances de vapotage contenant de la nicotine</w:t>
            </w:r>
          </w:p>
          <w:p w14:paraId="21CFC461" w14:textId="77777777" w:rsidR="0056738C" w:rsidRPr="0056738C" w:rsidRDefault="0056738C" w:rsidP="0056738C">
            <w:pPr>
              <w:widowControl w:val="0"/>
              <w:autoSpaceDE w:val="0"/>
              <w:autoSpaceDN w:val="0"/>
              <w:spacing w:before="110" w:after="0" w:line="240" w:lineRule="auto"/>
              <w:ind w:left="118" w:right="258"/>
              <w:rPr>
                <w:rFonts w:ascii="Times New Roman" w:eastAsia="Times New Roman" w:hAnsi="Times New Roman" w:cs="Times New Roman"/>
                <w:sz w:val="21"/>
                <w:lang w:val="fr-FR" w:eastAsia="fr-FR" w:bidi="fr-FR"/>
              </w:rPr>
            </w:pPr>
            <w:r w:rsidRPr="0056738C">
              <w:rPr>
                <w:rFonts w:ascii="Times New Roman" w:eastAsia="Times New Roman" w:hAnsi="Times New Roman" w:cs="Times New Roman"/>
                <w:sz w:val="21"/>
                <w:lang w:val="fr-FR" w:eastAsia="fr-FR" w:bidi="fr-FR"/>
              </w:rPr>
              <w:t>8543.40.00.90 – réutilisable, avec des substances de vapotage ne contenant pas de nicotine</w:t>
            </w:r>
          </w:p>
        </w:tc>
      </w:tr>
      <w:tr w:rsidR="0056738C" w:rsidRPr="00CE70F3" w14:paraId="7E897B34" w14:textId="77777777" w:rsidTr="00DA48E7">
        <w:trPr>
          <w:trHeight w:val="716"/>
        </w:trPr>
        <w:tc>
          <w:tcPr>
            <w:tcW w:w="4678" w:type="dxa"/>
          </w:tcPr>
          <w:p w14:paraId="2AD28DC4" w14:textId="77777777" w:rsidR="0056738C" w:rsidRPr="0056738C" w:rsidRDefault="0056738C" w:rsidP="0056738C">
            <w:pPr>
              <w:widowControl w:val="0"/>
              <w:autoSpaceDE w:val="0"/>
              <w:autoSpaceDN w:val="0"/>
              <w:spacing w:after="0" w:line="237" w:lineRule="auto"/>
              <w:ind w:left="101"/>
              <w:rPr>
                <w:rFonts w:ascii="Times New Roman" w:eastAsia="Times New Roman" w:hAnsi="Times New Roman" w:cs="Times New Roman"/>
                <w:sz w:val="21"/>
                <w:lang w:val="fr-FR" w:eastAsia="fr-FR" w:bidi="fr-FR"/>
              </w:rPr>
            </w:pPr>
            <w:r w:rsidRPr="0056738C">
              <w:rPr>
                <w:rFonts w:ascii="Times New Roman" w:eastAsia="Times New Roman" w:hAnsi="Times New Roman" w:cs="Times New Roman"/>
                <w:sz w:val="21"/>
                <w:lang w:val="fr-FR" w:eastAsia="fr-FR" w:bidi="fr-FR"/>
              </w:rPr>
              <w:t>Produits de vapotage qui sont des substances de vapotage dans des contenants immédiats</w:t>
            </w:r>
          </w:p>
        </w:tc>
        <w:tc>
          <w:tcPr>
            <w:tcW w:w="4790" w:type="dxa"/>
          </w:tcPr>
          <w:p w14:paraId="6A95653A" w14:textId="77777777" w:rsidR="0056738C" w:rsidRPr="0056738C" w:rsidRDefault="0056738C" w:rsidP="0056738C">
            <w:pPr>
              <w:widowControl w:val="0"/>
              <w:autoSpaceDE w:val="0"/>
              <w:autoSpaceDN w:val="0"/>
              <w:spacing w:after="0" w:line="235" w:lineRule="exact"/>
              <w:ind w:left="118"/>
              <w:rPr>
                <w:rFonts w:ascii="Times New Roman" w:eastAsia="Times New Roman" w:hAnsi="Times New Roman" w:cs="Times New Roman"/>
                <w:sz w:val="21"/>
                <w:lang w:val="fr-FR" w:eastAsia="fr-FR" w:bidi="fr-FR"/>
              </w:rPr>
            </w:pPr>
            <w:r w:rsidRPr="0056738C">
              <w:rPr>
                <w:rFonts w:ascii="Times New Roman" w:eastAsia="Times New Roman" w:hAnsi="Times New Roman" w:cs="Times New Roman"/>
                <w:sz w:val="21"/>
                <w:lang w:val="fr-FR" w:eastAsia="fr-FR" w:bidi="fr-FR"/>
              </w:rPr>
              <w:t>2404.12.00.00 – sans tabac mais avec nicotine</w:t>
            </w:r>
          </w:p>
          <w:p w14:paraId="005957C9" w14:textId="77777777" w:rsidR="0056738C" w:rsidRPr="0056738C" w:rsidRDefault="0056738C" w:rsidP="0056738C">
            <w:pPr>
              <w:widowControl w:val="0"/>
              <w:autoSpaceDE w:val="0"/>
              <w:autoSpaceDN w:val="0"/>
              <w:spacing w:before="127" w:after="0" w:line="240" w:lineRule="auto"/>
              <w:ind w:left="118"/>
              <w:rPr>
                <w:rFonts w:ascii="Times New Roman" w:eastAsia="Times New Roman" w:hAnsi="Times New Roman" w:cs="Times New Roman"/>
                <w:sz w:val="21"/>
                <w:lang w:val="fr-FR" w:eastAsia="fr-FR" w:bidi="fr-FR"/>
              </w:rPr>
            </w:pPr>
            <w:r w:rsidRPr="0056738C">
              <w:rPr>
                <w:rFonts w:ascii="Times New Roman" w:eastAsia="Times New Roman" w:hAnsi="Times New Roman" w:cs="Times New Roman"/>
                <w:sz w:val="21"/>
                <w:lang w:val="fr-FR" w:eastAsia="fr-FR" w:bidi="fr-FR"/>
              </w:rPr>
              <w:t>2404.19.00.00 – sans tabac ou nicotine</w:t>
            </w:r>
          </w:p>
        </w:tc>
      </w:tr>
      <w:tr w:rsidR="0056738C" w:rsidRPr="00CE70F3" w14:paraId="3DCCB34D" w14:textId="77777777" w:rsidTr="00DA48E7">
        <w:trPr>
          <w:trHeight w:val="845"/>
        </w:trPr>
        <w:tc>
          <w:tcPr>
            <w:tcW w:w="4678" w:type="dxa"/>
          </w:tcPr>
          <w:p w14:paraId="7B487B24" w14:textId="77777777" w:rsidR="0056738C" w:rsidRPr="0056738C" w:rsidRDefault="0056738C" w:rsidP="0056738C">
            <w:pPr>
              <w:widowControl w:val="0"/>
              <w:autoSpaceDE w:val="0"/>
              <w:autoSpaceDN w:val="0"/>
              <w:spacing w:before="10" w:after="0" w:line="240" w:lineRule="auto"/>
              <w:ind w:left="101"/>
              <w:rPr>
                <w:rFonts w:ascii="Times New Roman" w:eastAsia="Times New Roman" w:hAnsi="Times New Roman" w:cs="Times New Roman"/>
                <w:sz w:val="21"/>
                <w:lang w:val="fr-FR" w:eastAsia="fr-FR" w:bidi="fr-FR"/>
              </w:rPr>
            </w:pPr>
            <w:r w:rsidRPr="0056738C">
              <w:rPr>
                <w:rFonts w:ascii="Times New Roman" w:eastAsia="Times New Roman" w:hAnsi="Times New Roman" w:cs="Times New Roman"/>
                <w:sz w:val="21"/>
                <w:lang w:val="fr-FR" w:eastAsia="fr-FR" w:bidi="fr-FR"/>
              </w:rPr>
              <w:t>Produits de vapotage qui sont des substances de vapotage qui ne sont pas dans un dispositif de vapotage ou dans un contenant immédiat</w:t>
            </w:r>
          </w:p>
        </w:tc>
        <w:tc>
          <w:tcPr>
            <w:tcW w:w="4790" w:type="dxa"/>
          </w:tcPr>
          <w:p w14:paraId="26A9090B" w14:textId="77777777" w:rsidR="0056738C" w:rsidRPr="0056738C" w:rsidRDefault="0056738C" w:rsidP="0056738C">
            <w:pPr>
              <w:widowControl w:val="0"/>
              <w:autoSpaceDE w:val="0"/>
              <w:autoSpaceDN w:val="0"/>
              <w:spacing w:before="10" w:after="0" w:line="367" w:lineRule="auto"/>
              <w:ind w:left="118" w:right="742"/>
              <w:rPr>
                <w:rFonts w:ascii="Times New Roman" w:eastAsia="Times New Roman" w:hAnsi="Times New Roman" w:cs="Times New Roman"/>
                <w:sz w:val="21"/>
                <w:lang w:val="fr-FR" w:eastAsia="fr-FR" w:bidi="fr-FR"/>
              </w:rPr>
            </w:pPr>
            <w:r w:rsidRPr="0056738C">
              <w:rPr>
                <w:rFonts w:ascii="Times New Roman" w:eastAsia="Times New Roman" w:hAnsi="Times New Roman" w:cs="Times New Roman"/>
                <w:sz w:val="21"/>
                <w:lang w:val="fr-FR" w:eastAsia="fr-FR" w:bidi="fr-FR"/>
              </w:rPr>
              <w:t>2404.12.00.00 – sans tabac mais avec nicotine 2404.19.00.00 – sans tabac ou nicotine</w:t>
            </w:r>
          </w:p>
        </w:tc>
      </w:tr>
    </w:tbl>
    <w:p w14:paraId="2C300458" w14:textId="0EC1EB43" w:rsidR="002D74C4" w:rsidRDefault="002D74C4">
      <w:pPr>
        <w:spacing w:after="0" w:line="240" w:lineRule="auto"/>
        <w:rPr>
          <w:lang w:val="fr-CA"/>
        </w:rPr>
      </w:pPr>
    </w:p>
    <w:p w14:paraId="406B2F06" w14:textId="77777777" w:rsidR="00606424" w:rsidRDefault="00606424">
      <w:pPr>
        <w:spacing w:after="0" w:line="240" w:lineRule="auto"/>
        <w:rPr>
          <w:lang w:val="fr-CA"/>
        </w:rPr>
      </w:pPr>
    </w:p>
    <w:tbl>
      <w:tblPr>
        <w:tblW w:w="0" w:type="auto"/>
        <w:tblInd w:w="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78"/>
        <w:gridCol w:w="4790"/>
      </w:tblGrid>
      <w:tr w:rsidR="002D74C4" w:rsidRPr="0056738C" w14:paraId="2A54D981" w14:textId="77777777" w:rsidTr="00627DD4">
        <w:trPr>
          <w:trHeight w:val="604"/>
        </w:trPr>
        <w:tc>
          <w:tcPr>
            <w:tcW w:w="4678" w:type="dxa"/>
            <w:shd w:val="clear" w:color="auto" w:fill="BDBDBD"/>
          </w:tcPr>
          <w:p w14:paraId="49236A8D" w14:textId="3BCA5274" w:rsidR="002D74C4" w:rsidRPr="0056738C" w:rsidRDefault="002D74C4" w:rsidP="002D74C4">
            <w:pPr>
              <w:widowControl w:val="0"/>
              <w:autoSpaceDE w:val="0"/>
              <w:autoSpaceDN w:val="0"/>
              <w:spacing w:before="10" w:after="0" w:line="240" w:lineRule="auto"/>
              <w:ind w:left="101"/>
              <w:rPr>
                <w:rFonts w:ascii="Times New Roman" w:eastAsia="Times New Roman" w:hAnsi="Times New Roman" w:cs="Times New Roman"/>
                <w:b/>
                <w:sz w:val="21"/>
                <w:lang w:val="fr-FR" w:eastAsia="fr-FR" w:bidi="fr-FR"/>
              </w:rPr>
            </w:pPr>
            <w:r>
              <w:rPr>
                <w:rFonts w:ascii="Times New Roman" w:eastAsia="Times New Roman" w:hAnsi="Times New Roman" w:cs="Times New Roman"/>
                <w:b/>
                <w:spacing w:val="-4"/>
                <w:sz w:val="21"/>
                <w:lang w:val="fr-FR" w:eastAsia="fr-FR" w:bidi="fr-FR"/>
              </w:rPr>
              <w:t>Produits de vapotage qui ne</w:t>
            </w:r>
            <w:r w:rsidRPr="0056738C">
              <w:rPr>
                <w:rFonts w:ascii="Times New Roman" w:eastAsia="Times New Roman" w:hAnsi="Times New Roman" w:cs="Times New Roman"/>
                <w:b/>
                <w:spacing w:val="-4"/>
                <w:sz w:val="21"/>
                <w:lang w:val="fr-FR" w:eastAsia="fr-FR" w:bidi="fr-FR"/>
              </w:rPr>
              <w:t xml:space="preserve"> </w:t>
            </w:r>
            <w:r w:rsidRPr="0056738C">
              <w:rPr>
                <w:rFonts w:ascii="Times New Roman" w:eastAsia="Times New Roman" w:hAnsi="Times New Roman" w:cs="Times New Roman"/>
                <w:b/>
                <w:sz w:val="21"/>
                <w:lang w:val="fr-FR" w:eastAsia="fr-FR" w:bidi="fr-FR"/>
              </w:rPr>
              <w:t xml:space="preserve">sont </w:t>
            </w:r>
            <w:r w:rsidRPr="0056738C">
              <w:rPr>
                <w:rFonts w:ascii="Times New Roman" w:eastAsia="Times New Roman" w:hAnsi="Times New Roman" w:cs="Times New Roman"/>
                <w:b/>
                <w:spacing w:val="-20"/>
                <w:sz w:val="21"/>
                <w:lang w:val="fr-FR" w:eastAsia="fr-FR" w:bidi="fr-FR"/>
              </w:rPr>
              <w:t>pas</w:t>
            </w:r>
            <w:r>
              <w:rPr>
                <w:rFonts w:ascii="Times New Roman" w:eastAsia="Times New Roman" w:hAnsi="Times New Roman" w:cs="Times New Roman"/>
                <w:b/>
                <w:spacing w:val="-20"/>
                <w:sz w:val="21"/>
                <w:lang w:val="fr-FR" w:eastAsia="fr-FR" w:bidi="fr-FR"/>
              </w:rPr>
              <w:t xml:space="preserve"> </w:t>
            </w:r>
            <w:r w:rsidRPr="0056738C">
              <w:rPr>
                <w:rFonts w:ascii="Times New Roman" w:eastAsia="Times New Roman" w:hAnsi="Times New Roman" w:cs="Times New Roman"/>
                <w:b/>
                <w:sz w:val="21"/>
                <w:lang w:val="fr-FR" w:eastAsia="fr-FR" w:bidi="fr-FR"/>
              </w:rPr>
              <w:t xml:space="preserve">visés </w:t>
            </w:r>
            <w:r w:rsidRPr="0056738C">
              <w:rPr>
                <w:rFonts w:ascii="Times New Roman" w:eastAsia="Times New Roman" w:hAnsi="Times New Roman" w:cs="Times New Roman"/>
                <w:b/>
                <w:spacing w:val="-20"/>
                <w:sz w:val="21"/>
                <w:lang w:val="fr-FR" w:eastAsia="fr-FR" w:bidi="fr-FR"/>
              </w:rPr>
              <w:t xml:space="preserve">par </w:t>
            </w:r>
            <w:r w:rsidRPr="0056738C">
              <w:rPr>
                <w:rFonts w:ascii="Times New Roman" w:eastAsia="Times New Roman" w:hAnsi="Times New Roman" w:cs="Times New Roman"/>
                <w:b/>
                <w:spacing w:val="3"/>
                <w:sz w:val="21"/>
                <w:lang w:val="fr-FR" w:eastAsia="fr-FR" w:bidi="fr-FR"/>
              </w:rPr>
              <w:t xml:space="preserve">le </w:t>
            </w:r>
            <w:r w:rsidRPr="0056738C">
              <w:rPr>
                <w:rFonts w:ascii="Times New Roman" w:eastAsia="Times New Roman" w:hAnsi="Times New Roman" w:cs="Times New Roman"/>
                <w:b/>
                <w:spacing w:val="-5"/>
                <w:sz w:val="21"/>
                <w:lang w:val="fr-FR" w:eastAsia="fr-FR" w:bidi="fr-FR"/>
              </w:rPr>
              <w:t xml:space="preserve">cadre </w:t>
            </w:r>
            <w:r w:rsidRPr="0056738C">
              <w:rPr>
                <w:rFonts w:ascii="Times New Roman" w:eastAsia="Times New Roman" w:hAnsi="Times New Roman" w:cs="Times New Roman"/>
                <w:b/>
                <w:spacing w:val="-6"/>
                <w:sz w:val="21"/>
                <w:lang w:val="fr-FR" w:eastAsia="fr-FR" w:bidi="fr-FR"/>
              </w:rPr>
              <w:t xml:space="preserve">des </w:t>
            </w:r>
            <w:r w:rsidRPr="0056738C">
              <w:rPr>
                <w:rFonts w:ascii="Times New Roman" w:eastAsia="Times New Roman" w:hAnsi="Times New Roman" w:cs="Times New Roman"/>
                <w:b/>
                <w:spacing w:val="-5"/>
                <w:sz w:val="21"/>
                <w:lang w:val="fr-FR" w:eastAsia="fr-FR" w:bidi="fr-FR"/>
              </w:rPr>
              <w:t xml:space="preserve">droits </w:t>
            </w:r>
            <w:r w:rsidRPr="0056738C">
              <w:rPr>
                <w:rFonts w:ascii="Times New Roman" w:eastAsia="Times New Roman" w:hAnsi="Times New Roman" w:cs="Times New Roman"/>
                <w:b/>
                <w:sz w:val="21"/>
                <w:lang w:val="fr-FR" w:eastAsia="fr-FR" w:bidi="fr-FR"/>
              </w:rPr>
              <w:t xml:space="preserve">d’accise </w:t>
            </w:r>
            <w:r w:rsidRPr="0056738C">
              <w:rPr>
                <w:rFonts w:ascii="Times New Roman" w:eastAsia="Times New Roman" w:hAnsi="Times New Roman" w:cs="Times New Roman"/>
                <w:b/>
                <w:spacing w:val="3"/>
                <w:sz w:val="21"/>
                <w:lang w:val="fr-FR" w:eastAsia="fr-FR" w:bidi="fr-FR"/>
              </w:rPr>
              <w:t xml:space="preserve">sur les </w:t>
            </w:r>
            <w:r w:rsidRPr="0056738C">
              <w:rPr>
                <w:rFonts w:ascii="Times New Roman" w:eastAsia="Times New Roman" w:hAnsi="Times New Roman" w:cs="Times New Roman"/>
                <w:b/>
                <w:spacing w:val="-7"/>
                <w:sz w:val="21"/>
                <w:lang w:val="fr-FR" w:eastAsia="fr-FR" w:bidi="fr-FR"/>
              </w:rPr>
              <w:t xml:space="preserve">produits </w:t>
            </w:r>
            <w:r w:rsidRPr="0056738C">
              <w:rPr>
                <w:rFonts w:ascii="Times New Roman" w:eastAsia="Times New Roman" w:hAnsi="Times New Roman" w:cs="Times New Roman"/>
                <w:b/>
                <w:spacing w:val="-18"/>
                <w:sz w:val="21"/>
                <w:lang w:val="fr-FR" w:eastAsia="fr-FR" w:bidi="fr-FR"/>
              </w:rPr>
              <w:t xml:space="preserve">de </w:t>
            </w:r>
            <w:r w:rsidRPr="0056738C">
              <w:rPr>
                <w:rFonts w:ascii="Times New Roman" w:eastAsia="Times New Roman" w:hAnsi="Times New Roman" w:cs="Times New Roman"/>
                <w:b/>
                <w:spacing w:val="-17"/>
                <w:sz w:val="21"/>
                <w:lang w:val="fr-FR" w:eastAsia="fr-FR" w:bidi="fr-FR"/>
              </w:rPr>
              <w:t>vapotage</w:t>
            </w:r>
          </w:p>
        </w:tc>
        <w:tc>
          <w:tcPr>
            <w:tcW w:w="4790" w:type="dxa"/>
            <w:shd w:val="clear" w:color="auto" w:fill="BDBDBD"/>
          </w:tcPr>
          <w:p w14:paraId="6EBB811B" w14:textId="77777777" w:rsidR="002D74C4" w:rsidRPr="0056738C" w:rsidRDefault="002D74C4" w:rsidP="00627DD4">
            <w:pPr>
              <w:widowControl w:val="0"/>
              <w:autoSpaceDE w:val="0"/>
              <w:autoSpaceDN w:val="0"/>
              <w:spacing w:after="0" w:line="236" w:lineRule="exact"/>
              <w:ind w:left="118"/>
              <w:rPr>
                <w:rFonts w:ascii="Times New Roman" w:eastAsia="Times New Roman" w:hAnsi="Times New Roman" w:cs="Times New Roman"/>
                <w:b/>
                <w:sz w:val="21"/>
                <w:lang w:val="fr-FR" w:eastAsia="fr-FR" w:bidi="fr-FR"/>
              </w:rPr>
            </w:pPr>
            <w:r w:rsidRPr="0056738C">
              <w:rPr>
                <w:rFonts w:ascii="Times New Roman" w:eastAsia="Times New Roman" w:hAnsi="Times New Roman" w:cs="Times New Roman"/>
                <w:b/>
                <w:sz w:val="21"/>
                <w:lang w:val="fr-FR" w:eastAsia="fr-FR" w:bidi="fr-FR"/>
              </w:rPr>
              <w:t>Classement tarifaire</w:t>
            </w:r>
          </w:p>
        </w:tc>
      </w:tr>
      <w:tr w:rsidR="002D74C4" w:rsidRPr="0056738C" w14:paraId="54EEB4C6" w14:textId="77777777" w:rsidTr="00627DD4">
        <w:trPr>
          <w:trHeight w:val="1341"/>
        </w:trPr>
        <w:tc>
          <w:tcPr>
            <w:tcW w:w="4678" w:type="dxa"/>
          </w:tcPr>
          <w:p w14:paraId="1428E489" w14:textId="77777777" w:rsidR="002D74C4" w:rsidRPr="0056738C" w:rsidRDefault="002D74C4" w:rsidP="00627DD4">
            <w:pPr>
              <w:widowControl w:val="0"/>
              <w:autoSpaceDE w:val="0"/>
              <w:autoSpaceDN w:val="0"/>
              <w:spacing w:before="10" w:after="0" w:line="350" w:lineRule="auto"/>
              <w:ind w:left="101" w:right="63"/>
              <w:rPr>
                <w:rFonts w:ascii="Times New Roman" w:eastAsia="Times New Roman" w:hAnsi="Times New Roman" w:cs="Times New Roman"/>
                <w:sz w:val="21"/>
                <w:lang w:val="fr-FR" w:eastAsia="fr-FR" w:bidi="fr-FR"/>
              </w:rPr>
            </w:pPr>
            <w:r w:rsidRPr="0056738C">
              <w:rPr>
                <w:rFonts w:ascii="Times New Roman" w:eastAsia="Times New Roman" w:hAnsi="Times New Roman" w:cs="Times New Roman"/>
                <w:sz w:val="21"/>
                <w:lang w:val="fr-FR" w:eastAsia="fr-FR" w:bidi="fr-FR"/>
              </w:rPr>
              <w:t>Substance de vapotage qui contient du tabac Substance de vapotage qui contient du cannabis</w:t>
            </w:r>
          </w:p>
          <w:p w14:paraId="7FD417DC" w14:textId="77777777" w:rsidR="002D74C4" w:rsidRPr="0056738C" w:rsidRDefault="002D74C4" w:rsidP="00627DD4">
            <w:pPr>
              <w:widowControl w:val="0"/>
              <w:autoSpaceDE w:val="0"/>
              <w:autoSpaceDN w:val="0"/>
              <w:spacing w:after="0" w:line="240" w:lineRule="auto"/>
              <w:ind w:left="101" w:right="63"/>
              <w:rPr>
                <w:rFonts w:ascii="Times New Roman" w:eastAsia="Times New Roman" w:hAnsi="Times New Roman" w:cs="Times New Roman"/>
                <w:sz w:val="21"/>
                <w:lang w:val="fr-FR" w:eastAsia="fr-FR" w:bidi="fr-FR"/>
              </w:rPr>
            </w:pPr>
          </w:p>
          <w:p w14:paraId="06A446B1" w14:textId="77777777" w:rsidR="002D74C4" w:rsidRPr="0056738C" w:rsidRDefault="002D74C4" w:rsidP="00627DD4">
            <w:pPr>
              <w:widowControl w:val="0"/>
              <w:autoSpaceDE w:val="0"/>
              <w:autoSpaceDN w:val="0"/>
              <w:spacing w:after="0" w:line="240" w:lineRule="auto"/>
              <w:ind w:left="101" w:right="63"/>
              <w:rPr>
                <w:rFonts w:ascii="Times New Roman" w:eastAsia="Times New Roman" w:hAnsi="Times New Roman" w:cs="Times New Roman"/>
                <w:sz w:val="21"/>
                <w:lang w:val="fr-FR" w:eastAsia="fr-FR" w:bidi="fr-FR"/>
              </w:rPr>
            </w:pPr>
            <w:r w:rsidRPr="0056738C">
              <w:rPr>
                <w:rFonts w:ascii="Times New Roman" w:eastAsia="Times New Roman" w:hAnsi="Times New Roman" w:cs="Times New Roman"/>
                <w:sz w:val="21"/>
                <w:lang w:val="fr-FR" w:eastAsia="fr-FR" w:bidi="fr-FR"/>
              </w:rPr>
              <w:t>Dispositif de vapotage sans aucune substance de vapotage</w:t>
            </w:r>
          </w:p>
        </w:tc>
        <w:tc>
          <w:tcPr>
            <w:tcW w:w="4790" w:type="dxa"/>
          </w:tcPr>
          <w:p w14:paraId="673899D6" w14:textId="77777777" w:rsidR="002D74C4" w:rsidRPr="0056738C" w:rsidRDefault="002D74C4" w:rsidP="00627DD4">
            <w:pPr>
              <w:widowControl w:val="0"/>
              <w:autoSpaceDE w:val="0"/>
              <w:autoSpaceDN w:val="0"/>
              <w:spacing w:after="0" w:line="235" w:lineRule="exact"/>
              <w:ind w:left="118"/>
              <w:rPr>
                <w:rFonts w:ascii="Times New Roman" w:eastAsia="Times New Roman" w:hAnsi="Times New Roman" w:cs="Times New Roman"/>
                <w:sz w:val="21"/>
                <w:lang w:val="fr-FR" w:eastAsia="fr-FR" w:bidi="fr-FR"/>
              </w:rPr>
            </w:pPr>
            <w:r w:rsidRPr="0056738C">
              <w:rPr>
                <w:rFonts w:ascii="Times New Roman" w:eastAsia="Times New Roman" w:hAnsi="Times New Roman" w:cs="Times New Roman"/>
                <w:sz w:val="21"/>
                <w:lang w:val="fr-FR" w:eastAsia="fr-FR" w:bidi="fr-FR"/>
              </w:rPr>
              <w:t>2404.11.00.00 – contenant du tabac</w:t>
            </w:r>
          </w:p>
          <w:p w14:paraId="0172A706" w14:textId="77777777" w:rsidR="002D74C4" w:rsidRPr="0056738C" w:rsidRDefault="002D74C4" w:rsidP="00627DD4">
            <w:pPr>
              <w:widowControl w:val="0"/>
              <w:autoSpaceDE w:val="0"/>
              <w:autoSpaceDN w:val="0"/>
              <w:spacing w:before="111" w:after="0" w:line="240" w:lineRule="auto"/>
              <w:ind w:left="118"/>
              <w:rPr>
                <w:rFonts w:ascii="Times New Roman" w:eastAsia="Times New Roman" w:hAnsi="Times New Roman" w:cs="Times New Roman"/>
                <w:sz w:val="21"/>
                <w:lang w:val="fr-FR" w:eastAsia="fr-FR" w:bidi="fr-FR"/>
              </w:rPr>
            </w:pPr>
            <w:r w:rsidRPr="0056738C">
              <w:rPr>
                <w:rFonts w:ascii="Times New Roman" w:eastAsia="Times New Roman" w:hAnsi="Times New Roman" w:cs="Times New Roman"/>
                <w:spacing w:val="-7"/>
                <w:sz w:val="21"/>
                <w:lang w:val="fr-FR" w:eastAsia="fr-FR" w:bidi="fr-FR"/>
              </w:rPr>
              <w:t xml:space="preserve">2404.19.00.00 </w:t>
            </w:r>
            <w:r w:rsidRPr="0056738C">
              <w:rPr>
                <w:rFonts w:ascii="Times New Roman" w:eastAsia="Times New Roman" w:hAnsi="Times New Roman" w:cs="Times New Roman"/>
                <w:sz w:val="21"/>
                <w:lang w:val="fr-FR" w:eastAsia="fr-FR" w:bidi="fr-FR"/>
              </w:rPr>
              <w:t xml:space="preserve">– </w:t>
            </w:r>
            <w:r w:rsidRPr="0056738C">
              <w:rPr>
                <w:rFonts w:ascii="Times New Roman" w:eastAsia="Times New Roman" w:hAnsi="Times New Roman" w:cs="Times New Roman"/>
                <w:spacing w:val="6"/>
                <w:sz w:val="21"/>
                <w:lang w:val="fr-FR" w:eastAsia="fr-FR" w:bidi="fr-FR"/>
              </w:rPr>
              <w:t xml:space="preserve">sans </w:t>
            </w:r>
            <w:r w:rsidRPr="0056738C">
              <w:rPr>
                <w:rFonts w:ascii="Times New Roman" w:eastAsia="Times New Roman" w:hAnsi="Times New Roman" w:cs="Times New Roman"/>
                <w:spacing w:val="3"/>
                <w:sz w:val="21"/>
                <w:lang w:val="fr-FR" w:eastAsia="fr-FR" w:bidi="fr-FR"/>
              </w:rPr>
              <w:t xml:space="preserve">tabac </w:t>
            </w:r>
            <w:r w:rsidRPr="0056738C">
              <w:rPr>
                <w:rFonts w:ascii="Times New Roman" w:eastAsia="Times New Roman" w:hAnsi="Times New Roman" w:cs="Times New Roman"/>
                <w:spacing w:val="4"/>
                <w:sz w:val="21"/>
                <w:lang w:val="fr-FR" w:eastAsia="fr-FR" w:bidi="fr-FR"/>
              </w:rPr>
              <w:t xml:space="preserve">ou </w:t>
            </w:r>
            <w:r w:rsidRPr="0056738C">
              <w:rPr>
                <w:rFonts w:ascii="Times New Roman" w:eastAsia="Times New Roman" w:hAnsi="Times New Roman" w:cs="Times New Roman"/>
                <w:sz w:val="21"/>
                <w:lang w:val="fr-FR" w:eastAsia="fr-FR" w:bidi="fr-FR"/>
              </w:rPr>
              <w:t xml:space="preserve">nicotine </w:t>
            </w:r>
            <w:r w:rsidRPr="0056738C">
              <w:rPr>
                <w:rFonts w:ascii="Times New Roman" w:eastAsia="Times New Roman" w:hAnsi="Times New Roman" w:cs="Times New Roman"/>
                <w:spacing w:val="-7"/>
                <w:sz w:val="21"/>
                <w:lang w:val="fr-FR" w:eastAsia="fr-FR" w:bidi="fr-FR"/>
              </w:rPr>
              <w:t xml:space="preserve">mais </w:t>
            </w:r>
            <w:r w:rsidRPr="0056738C">
              <w:rPr>
                <w:rFonts w:ascii="Times New Roman" w:eastAsia="Times New Roman" w:hAnsi="Times New Roman" w:cs="Times New Roman"/>
                <w:sz w:val="21"/>
                <w:lang w:val="fr-FR" w:eastAsia="fr-FR" w:bidi="fr-FR"/>
              </w:rPr>
              <w:t xml:space="preserve">contenant </w:t>
            </w:r>
            <w:r w:rsidRPr="0056738C">
              <w:rPr>
                <w:rFonts w:ascii="Times New Roman" w:eastAsia="Times New Roman" w:hAnsi="Times New Roman" w:cs="Times New Roman"/>
                <w:spacing w:val="5"/>
                <w:sz w:val="21"/>
                <w:lang w:val="fr-FR" w:eastAsia="fr-FR" w:bidi="fr-FR"/>
              </w:rPr>
              <w:t xml:space="preserve">une substance </w:t>
            </w:r>
            <w:r w:rsidRPr="0056738C">
              <w:rPr>
                <w:rFonts w:ascii="Times New Roman" w:eastAsia="Times New Roman" w:hAnsi="Times New Roman" w:cs="Times New Roman"/>
                <w:spacing w:val="3"/>
                <w:sz w:val="21"/>
                <w:lang w:val="fr-FR" w:eastAsia="fr-FR" w:bidi="fr-FR"/>
              </w:rPr>
              <w:t xml:space="preserve">de </w:t>
            </w:r>
            <w:r w:rsidRPr="0056738C">
              <w:rPr>
                <w:rFonts w:ascii="Times New Roman" w:eastAsia="Times New Roman" w:hAnsi="Times New Roman" w:cs="Times New Roman"/>
                <w:sz w:val="21"/>
                <w:lang w:val="fr-FR" w:eastAsia="fr-FR" w:bidi="fr-FR"/>
              </w:rPr>
              <w:t>cannabis</w:t>
            </w:r>
          </w:p>
          <w:p w14:paraId="267E4375" w14:textId="77777777" w:rsidR="002D74C4" w:rsidRPr="0056738C" w:rsidRDefault="002D74C4" w:rsidP="00627DD4">
            <w:pPr>
              <w:widowControl w:val="0"/>
              <w:autoSpaceDE w:val="0"/>
              <w:autoSpaceDN w:val="0"/>
              <w:spacing w:before="125" w:after="0" w:line="240" w:lineRule="auto"/>
              <w:ind w:left="118"/>
              <w:rPr>
                <w:rFonts w:ascii="Times New Roman" w:eastAsia="Times New Roman" w:hAnsi="Times New Roman" w:cs="Times New Roman"/>
                <w:sz w:val="21"/>
                <w:lang w:val="fr-FR" w:eastAsia="fr-FR" w:bidi="fr-FR"/>
              </w:rPr>
            </w:pPr>
            <w:r w:rsidRPr="0056738C">
              <w:rPr>
                <w:rFonts w:ascii="Times New Roman" w:eastAsia="Times New Roman" w:hAnsi="Times New Roman" w:cs="Times New Roman"/>
                <w:sz w:val="21"/>
                <w:lang w:val="fr-FR" w:eastAsia="fr-FR" w:bidi="fr-FR"/>
              </w:rPr>
              <w:t>8543.40.00.90 – réutilisable, vide</w:t>
            </w:r>
          </w:p>
        </w:tc>
      </w:tr>
    </w:tbl>
    <w:p w14:paraId="7C4C4F47" w14:textId="12BD4950" w:rsidR="000B1962" w:rsidRDefault="000B1962">
      <w:pPr>
        <w:spacing w:after="0" w:line="240" w:lineRule="auto"/>
        <w:rPr>
          <w:lang w:val="fr-CA"/>
        </w:rPr>
      </w:pPr>
    </w:p>
    <w:p w14:paraId="0073E927" w14:textId="4BA03773" w:rsidR="0056738C" w:rsidRPr="00317248" w:rsidRDefault="0056738C" w:rsidP="000A6694">
      <w:pPr>
        <w:pStyle w:val="Heading2"/>
      </w:pPr>
      <w:bookmarkStart w:id="75" w:name="_Annexe_B"/>
      <w:bookmarkStart w:id="76" w:name="SH37"/>
      <w:bookmarkEnd w:id="75"/>
      <w:r w:rsidRPr="00286AAC">
        <w:t xml:space="preserve">Annexe </w:t>
      </w:r>
      <w:bookmarkEnd w:id="76"/>
      <w:r w:rsidR="00BA2C82" w:rsidRPr="00286AAC">
        <w:t>B</w:t>
      </w:r>
      <w:r w:rsidR="00BA2C82" w:rsidRPr="00317248">
        <w:t xml:space="preserve"> </w:t>
      </w:r>
    </w:p>
    <w:p w14:paraId="4F08B93E" w14:textId="77777777" w:rsidR="0056738C" w:rsidRPr="000F02CF" w:rsidRDefault="0056738C" w:rsidP="0056738C">
      <w:pPr>
        <w:rPr>
          <w:lang w:val="fr-CA"/>
        </w:rPr>
      </w:pPr>
      <w:r w:rsidRPr="000F02CF">
        <w:rPr>
          <w:lang w:val="fr-CA"/>
        </w:rPr>
        <w:t xml:space="preserve">Exemples de calculs de montants de droits de douanes, droit sur le vapotage et de TPS </w:t>
      </w:r>
    </w:p>
    <w:p w14:paraId="1DB946D8" w14:textId="577DAE4A" w:rsidR="0056738C" w:rsidRDefault="006016D6" w:rsidP="00303146">
      <w:pPr>
        <w:rPr>
          <w:lang w:val="fr-CA"/>
        </w:rPr>
      </w:pPr>
      <w:r w:rsidRPr="00CE70F3">
        <w:rPr>
          <w:rFonts w:ascii="Times New Roman" w:hAnsi="Times New Roman" w:cs="Times New Roman"/>
          <w:b/>
          <w:sz w:val="22"/>
          <w:lang w:val="fr-CA"/>
        </w:rPr>
        <w:t>Exemple 1</w:t>
      </w:r>
      <w:r w:rsidR="0056738C" w:rsidRPr="00CE70F3">
        <w:rPr>
          <w:rFonts w:ascii="Times New Roman" w:hAnsi="Times New Roman" w:cs="Times New Roman"/>
          <w:b/>
          <w:sz w:val="22"/>
          <w:lang w:val="fr-CA"/>
        </w:rPr>
        <w:t xml:space="preserve"> – importation de marchandises commerciales</w:t>
      </w:r>
      <w:r w:rsidR="001B791D" w:rsidRPr="00CE70F3">
        <w:rPr>
          <w:rFonts w:ascii="Times New Roman" w:hAnsi="Times New Roman" w:cs="Times New Roman"/>
          <w:b/>
          <w:sz w:val="22"/>
          <w:lang w:val="fr-CA"/>
        </w:rPr>
        <w:t xml:space="preserve"> </w:t>
      </w:r>
      <w:r w:rsidR="001B791D" w:rsidRPr="00CE70F3">
        <w:rPr>
          <w:rFonts w:ascii="Times New Roman" w:eastAsia="Times New Roman" w:hAnsi="Times New Roman" w:cs="Times New Roman"/>
          <w:b/>
          <w:bCs/>
          <w:sz w:val="22"/>
          <w:lang w:val="fr-CA" w:bidi="en-US"/>
        </w:rPr>
        <w:t xml:space="preserve">pour lesquelles le droit sur le vapotage est </w:t>
      </w:r>
      <w:r w:rsidR="00D14570">
        <w:rPr>
          <w:rFonts w:ascii="Times New Roman" w:eastAsia="Times New Roman" w:hAnsi="Times New Roman" w:cs="Times New Roman"/>
          <w:b/>
          <w:bCs/>
          <w:sz w:val="22"/>
          <w:lang w:val="fr-CA" w:bidi="en-US"/>
        </w:rPr>
        <w:t>exigible</w:t>
      </w:r>
      <w:r w:rsidR="00D14570" w:rsidRPr="00CE70F3">
        <w:rPr>
          <w:rFonts w:ascii="Times New Roman" w:eastAsia="Times New Roman" w:hAnsi="Times New Roman" w:cs="Times New Roman"/>
          <w:b/>
          <w:bCs/>
          <w:sz w:val="22"/>
          <w:lang w:val="fr-CA" w:bidi="en-US"/>
        </w:rPr>
        <w:t xml:space="preserve"> </w:t>
      </w:r>
      <w:r w:rsidR="001B791D" w:rsidRPr="00CE70F3">
        <w:rPr>
          <w:rFonts w:ascii="Times New Roman" w:eastAsia="Times New Roman" w:hAnsi="Times New Roman" w:cs="Times New Roman"/>
          <w:b/>
          <w:bCs/>
          <w:sz w:val="22"/>
          <w:lang w:val="fr-CA" w:bidi="en-US"/>
        </w:rPr>
        <w:t xml:space="preserve">et le droit additionnel </w:t>
      </w:r>
      <w:r w:rsidR="0011685F" w:rsidRPr="00D14570">
        <w:rPr>
          <w:rFonts w:ascii="Times New Roman" w:eastAsia="Times New Roman" w:hAnsi="Times New Roman" w:cs="Times New Roman"/>
          <w:b/>
          <w:bCs/>
          <w:sz w:val="22"/>
          <w:lang w:val="fr-CA" w:bidi="en-US"/>
        </w:rPr>
        <w:t xml:space="preserve">sur le vapotage </w:t>
      </w:r>
      <w:r w:rsidR="001B791D" w:rsidRPr="00CE70F3">
        <w:rPr>
          <w:rFonts w:ascii="Times New Roman" w:eastAsia="Times New Roman" w:hAnsi="Times New Roman" w:cs="Times New Roman"/>
          <w:b/>
          <w:bCs/>
          <w:sz w:val="22"/>
          <w:lang w:val="fr-CA" w:bidi="en-US"/>
        </w:rPr>
        <w:t>n'est pas applicable</w:t>
      </w:r>
    </w:p>
    <w:tbl>
      <w:tblPr>
        <w:tblW w:w="0" w:type="auto"/>
        <w:tblInd w:w="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87"/>
        <w:gridCol w:w="1166"/>
      </w:tblGrid>
      <w:tr w:rsidR="002C1232" w:rsidRPr="0056738C" w14:paraId="36F8BEF4" w14:textId="77777777" w:rsidTr="002C1232">
        <w:trPr>
          <w:trHeight w:val="348"/>
        </w:trPr>
        <w:tc>
          <w:tcPr>
            <w:tcW w:w="5687" w:type="dxa"/>
            <w:shd w:val="clear" w:color="auto" w:fill="E7E6E6" w:themeFill="background2"/>
          </w:tcPr>
          <w:p w14:paraId="2D1551C0" w14:textId="35CB6980" w:rsidR="002C1232" w:rsidRPr="0056738C" w:rsidRDefault="002C1232" w:rsidP="002C123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b/>
                <w:sz w:val="22"/>
                <w:lang w:val="fr-FR" w:eastAsia="fr-FR" w:bidi="fr-FR"/>
              </w:rPr>
              <w:t>Un ensemble contenant 4 dosettes, chaque dosette contenant 1.5</w:t>
            </w:r>
            <w:r>
              <w:rPr>
                <w:rFonts w:ascii="Times New Roman" w:eastAsia="Times New Roman" w:hAnsi="Times New Roman" w:cs="Times New Roman"/>
                <w:b/>
                <w:sz w:val="22"/>
                <w:lang w:val="fr-FR" w:eastAsia="fr-FR" w:bidi="fr-FR"/>
              </w:rPr>
              <w:t xml:space="preserve"> </w:t>
            </w:r>
            <w:r w:rsidR="00982DBA" w:rsidRPr="0056738C">
              <w:rPr>
                <w:rFonts w:ascii="Times New Roman" w:eastAsia="Times New Roman" w:hAnsi="Times New Roman" w:cs="Times New Roman"/>
                <w:b/>
                <w:sz w:val="22"/>
                <w:lang w:val="fr-FR" w:eastAsia="fr-FR" w:bidi="fr-FR"/>
              </w:rPr>
              <w:t>ml</w:t>
            </w:r>
            <w:r w:rsidRPr="0056738C">
              <w:rPr>
                <w:rFonts w:ascii="Times New Roman" w:eastAsia="Times New Roman" w:hAnsi="Times New Roman" w:cs="Times New Roman"/>
                <w:b/>
                <w:sz w:val="22"/>
                <w:lang w:val="fr-FR" w:eastAsia="fr-FR" w:bidi="fr-FR"/>
              </w:rPr>
              <w:t xml:space="preserve"> de liquide de vapotage</w:t>
            </w:r>
          </w:p>
        </w:tc>
        <w:tc>
          <w:tcPr>
            <w:tcW w:w="1166" w:type="dxa"/>
            <w:shd w:val="clear" w:color="auto" w:fill="E7E6E6" w:themeFill="background2"/>
          </w:tcPr>
          <w:p w14:paraId="31A45DED" w14:textId="77777777" w:rsidR="002C1232" w:rsidRDefault="002C1232" w:rsidP="002C1232">
            <w:pPr>
              <w:widowControl w:val="0"/>
              <w:autoSpaceDE w:val="0"/>
              <w:autoSpaceDN w:val="0"/>
              <w:spacing w:after="0" w:line="235" w:lineRule="exact"/>
              <w:ind w:left="70"/>
              <w:rPr>
                <w:rFonts w:ascii="Times New Roman" w:eastAsia="Times New Roman" w:hAnsi="Times New Roman" w:cs="Times New Roman"/>
                <w:b/>
                <w:sz w:val="22"/>
                <w:lang w:val="fr-FR" w:eastAsia="fr-FR" w:bidi="fr-FR"/>
              </w:rPr>
            </w:pPr>
            <w:r w:rsidRPr="0056738C">
              <w:rPr>
                <w:rFonts w:ascii="Times New Roman" w:eastAsia="Times New Roman" w:hAnsi="Times New Roman" w:cs="Times New Roman"/>
                <w:b/>
                <w:sz w:val="22"/>
                <w:lang w:val="fr-FR" w:eastAsia="fr-FR" w:bidi="fr-FR"/>
              </w:rPr>
              <w:t>Montant</w:t>
            </w:r>
          </w:p>
          <w:p w14:paraId="25EE0313" w14:textId="09B409A5" w:rsidR="002C1232" w:rsidRPr="0056738C" w:rsidRDefault="002C1232" w:rsidP="002C123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Pr>
                <w:rFonts w:ascii="Times New Roman" w:eastAsia="Times New Roman" w:hAnsi="Times New Roman" w:cs="Times New Roman"/>
                <w:b/>
                <w:sz w:val="22"/>
                <w:lang w:val="fr-FR" w:eastAsia="fr-FR" w:bidi="fr-FR"/>
              </w:rPr>
              <w:t>($)</w:t>
            </w:r>
          </w:p>
        </w:tc>
      </w:tr>
      <w:tr w:rsidR="0056738C" w:rsidRPr="0056738C" w14:paraId="277DE67F" w14:textId="77777777" w:rsidTr="00A65ACE">
        <w:trPr>
          <w:trHeight w:val="348"/>
        </w:trPr>
        <w:tc>
          <w:tcPr>
            <w:tcW w:w="5687" w:type="dxa"/>
          </w:tcPr>
          <w:p w14:paraId="1633392F" w14:textId="77777777" w:rsidR="0056738C" w:rsidRPr="0056738C" w:rsidRDefault="0056738C" w:rsidP="0056738C">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Valeur en douane (VD)</w:t>
            </w:r>
          </w:p>
        </w:tc>
        <w:tc>
          <w:tcPr>
            <w:tcW w:w="1166" w:type="dxa"/>
          </w:tcPr>
          <w:p w14:paraId="46257ECA" w14:textId="2E605D85" w:rsidR="0056738C" w:rsidRPr="0056738C" w:rsidRDefault="0056738C" w:rsidP="002C123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40</w:t>
            </w:r>
          </w:p>
        </w:tc>
      </w:tr>
      <w:tr w:rsidR="0056738C" w:rsidRPr="0056738C" w14:paraId="48C39129" w14:textId="77777777" w:rsidTr="00A65ACE">
        <w:trPr>
          <w:trHeight w:val="332"/>
        </w:trPr>
        <w:tc>
          <w:tcPr>
            <w:tcW w:w="5687" w:type="dxa"/>
          </w:tcPr>
          <w:p w14:paraId="24006B2F" w14:textId="77777777" w:rsidR="0056738C" w:rsidRPr="0056738C" w:rsidRDefault="0056738C" w:rsidP="0056738C">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Droit de douane (ces marchandises sont en franchise de droits)</w:t>
            </w:r>
          </w:p>
        </w:tc>
        <w:tc>
          <w:tcPr>
            <w:tcW w:w="1166" w:type="dxa"/>
          </w:tcPr>
          <w:p w14:paraId="3F1CA3C5" w14:textId="41F07B0D" w:rsidR="0056738C" w:rsidRPr="0056738C" w:rsidRDefault="0056738C" w:rsidP="002C123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0</w:t>
            </w:r>
          </w:p>
        </w:tc>
      </w:tr>
      <w:tr w:rsidR="0056738C" w:rsidRPr="0056738C" w14:paraId="33A20794" w14:textId="77777777" w:rsidTr="00A65ACE">
        <w:trPr>
          <w:trHeight w:val="1309"/>
        </w:trPr>
        <w:tc>
          <w:tcPr>
            <w:tcW w:w="5687" w:type="dxa"/>
          </w:tcPr>
          <w:p w14:paraId="11A4AE82" w14:textId="77777777" w:rsidR="0056738C" w:rsidRPr="00DB2F4A" w:rsidRDefault="0056738C" w:rsidP="0056738C">
            <w:pPr>
              <w:widowControl w:val="0"/>
              <w:autoSpaceDE w:val="0"/>
              <w:autoSpaceDN w:val="0"/>
              <w:spacing w:after="0" w:line="235" w:lineRule="exact"/>
              <w:ind w:left="70"/>
              <w:rPr>
                <w:rFonts w:ascii="Times New Roman" w:eastAsia="Times New Roman" w:hAnsi="Times New Roman" w:cs="Times New Roman"/>
                <w:sz w:val="22"/>
                <w:highlight w:val="yellow"/>
                <w:lang w:val="fr-FR" w:eastAsia="fr-FR" w:bidi="fr-FR"/>
              </w:rPr>
            </w:pPr>
            <w:r w:rsidRPr="00DB2F4A">
              <w:rPr>
                <w:rFonts w:ascii="Times New Roman" w:eastAsia="Times New Roman" w:hAnsi="Times New Roman" w:cs="Times New Roman"/>
                <w:sz w:val="22"/>
                <w:highlight w:val="yellow"/>
                <w:lang w:val="fr-FR" w:eastAsia="fr-FR" w:bidi="fr-FR"/>
              </w:rPr>
              <w:t xml:space="preserve">Droit sur le vapotage </w:t>
            </w:r>
          </w:p>
          <w:p w14:paraId="75C7782E" w14:textId="69D0FECB" w:rsidR="0056738C" w:rsidRPr="00DB2F4A" w:rsidRDefault="0056738C" w:rsidP="0056738C">
            <w:pPr>
              <w:widowControl w:val="0"/>
              <w:autoSpaceDE w:val="0"/>
              <w:autoSpaceDN w:val="0"/>
              <w:spacing w:before="110" w:after="0" w:line="228" w:lineRule="auto"/>
              <w:ind w:left="70" w:right="60"/>
              <w:rPr>
                <w:rFonts w:ascii="Times New Roman" w:eastAsia="Times New Roman" w:hAnsi="Times New Roman" w:cs="Times New Roman"/>
                <w:sz w:val="22"/>
                <w:highlight w:val="yellow"/>
                <w:lang w:val="fr-FR" w:eastAsia="fr-FR" w:bidi="fr-FR"/>
              </w:rPr>
            </w:pPr>
            <w:r w:rsidRPr="00DB2F4A">
              <w:rPr>
                <w:rFonts w:ascii="Times New Roman" w:eastAsia="Times New Roman" w:hAnsi="Times New Roman" w:cs="Times New Roman"/>
                <w:sz w:val="22"/>
                <w:highlight w:val="yellow"/>
                <w:lang w:val="fr-FR" w:eastAsia="fr-FR" w:bidi="fr-FR"/>
              </w:rPr>
              <w:t>1</w:t>
            </w:r>
            <w:r w:rsidR="00DB2F4A" w:rsidRPr="00DB2F4A">
              <w:rPr>
                <w:rFonts w:ascii="Times New Roman" w:eastAsia="Times New Roman" w:hAnsi="Times New Roman" w:cs="Times New Roman"/>
                <w:sz w:val="22"/>
                <w:highlight w:val="yellow"/>
                <w:lang w:val="fr-FR" w:eastAsia="fr-FR" w:bidi="fr-FR"/>
              </w:rPr>
              <w:t xml:space="preserve">,12 </w:t>
            </w:r>
            <w:r w:rsidRPr="00DB2F4A">
              <w:rPr>
                <w:rFonts w:ascii="Times New Roman" w:eastAsia="Times New Roman" w:hAnsi="Times New Roman" w:cs="Times New Roman"/>
                <w:sz w:val="22"/>
                <w:highlight w:val="yellow"/>
                <w:lang w:val="fr-FR" w:eastAsia="fr-FR" w:bidi="fr-FR"/>
              </w:rPr>
              <w:t>$ par 2 millilitres (</w:t>
            </w:r>
            <w:r w:rsidR="00982DBA" w:rsidRPr="00DB2F4A">
              <w:rPr>
                <w:rFonts w:ascii="Times New Roman" w:eastAsia="Times New Roman" w:hAnsi="Times New Roman" w:cs="Times New Roman"/>
                <w:sz w:val="22"/>
                <w:highlight w:val="yellow"/>
                <w:lang w:val="fr-FR" w:eastAsia="fr-FR" w:bidi="fr-FR"/>
              </w:rPr>
              <w:t>ml</w:t>
            </w:r>
            <w:r w:rsidRPr="00DB2F4A">
              <w:rPr>
                <w:rFonts w:ascii="Times New Roman" w:eastAsia="Times New Roman" w:hAnsi="Times New Roman" w:cs="Times New Roman"/>
                <w:sz w:val="22"/>
                <w:highlight w:val="yellow"/>
                <w:lang w:val="fr-FR" w:eastAsia="fr-FR" w:bidi="fr-FR"/>
              </w:rPr>
              <w:t xml:space="preserve">), ou fraction de cette quantité, pour les premiers 10 </w:t>
            </w:r>
            <w:r w:rsidR="00982DBA" w:rsidRPr="00DB2F4A">
              <w:rPr>
                <w:rFonts w:ascii="Times New Roman" w:eastAsia="Times New Roman" w:hAnsi="Times New Roman" w:cs="Times New Roman"/>
                <w:sz w:val="22"/>
                <w:highlight w:val="yellow"/>
                <w:lang w:val="fr-FR" w:eastAsia="fr-FR" w:bidi="fr-FR"/>
              </w:rPr>
              <w:t>ml</w:t>
            </w:r>
            <w:r w:rsidRPr="00DB2F4A">
              <w:rPr>
                <w:rFonts w:ascii="Times New Roman" w:eastAsia="Times New Roman" w:hAnsi="Times New Roman" w:cs="Times New Roman"/>
                <w:sz w:val="22"/>
                <w:highlight w:val="yellow"/>
                <w:lang w:val="fr-FR" w:eastAsia="fr-FR" w:bidi="fr-FR"/>
              </w:rPr>
              <w:t xml:space="preserve"> de substance de vapotage</w:t>
            </w:r>
          </w:p>
          <w:p w14:paraId="005A7D71" w14:textId="219AE428" w:rsidR="0056738C" w:rsidRPr="0056738C" w:rsidRDefault="0056738C" w:rsidP="0056738C">
            <w:pPr>
              <w:widowControl w:val="0"/>
              <w:autoSpaceDE w:val="0"/>
              <w:autoSpaceDN w:val="0"/>
              <w:spacing w:before="117" w:after="0" w:line="240" w:lineRule="auto"/>
              <w:ind w:left="70"/>
              <w:rPr>
                <w:rFonts w:ascii="Times New Roman" w:eastAsia="Times New Roman" w:hAnsi="Times New Roman" w:cs="Times New Roman"/>
                <w:b/>
                <w:sz w:val="22"/>
                <w:lang w:val="fr-FR" w:eastAsia="fr-FR" w:bidi="fr-FR"/>
              </w:rPr>
            </w:pPr>
            <w:r w:rsidRPr="00DB2F4A">
              <w:rPr>
                <w:rFonts w:ascii="Times New Roman" w:eastAsia="Times New Roman" w:hAnsi="Times New Roman" w:cs="Times New Roman"/>
                <w:b/>
                <w:sz w:val="22"/>
                <w:highlight w:val="yellow"/>
                <w:lang w:val="fr-FR" w:eastAsia="fr-FR" w:bidi="fr-FR"/>
              </w:rPr>
              <w:t>(1</w:t>
            </w:r>
            <w:r w:rsidR="00DB2F4A" w:rsidRPr="00DB2F4A">
              <w:rPr>
                <w:rFonts w:ascii="Times New Roman" w:eastAsia="Times New Roman" w:hAnsi="Times New Roman" w:cs="Times New Roman"/>
                <w:b/>
                <w:sz w:val="22"/>
                <w:highlight w:val="yellow"/>
                <w:lang w:val="fr-FR" w:eastAsia="fr-FR" w:bidi="fr-FR"/>
              </w:rPr>
              <w:t xml:space="preserve">,12 </w:t>
            </w:r>
            <w:r w:rsidRPr="00DB2F4A">
              <w:rPr>
                <w:rFonts w:ascii="Times New Roman" w:eastAsia="Times New Roman" w:hAnsi="Times New Roman" w:cs="Times New Roman"/>
                <w:b/>
                <w:sz w:val="22"/>
                <w:highlight w:val="yellow"/>
                <w:lang w:val="fr-FR" w:eastAsia="fr-FR" w:bidi="fr-FR"/>
              </w:rPr>
              <w:t>$ X 4 dosettes de 1.5</w:t>
            </w:r>
            <w:r w:rsidR="00685C49">
              <w:rPr>
                <w:rFonts w:ascii="Times New Roman" w:eastAsia="Times New Roman" w:hAnsi="Times New Roman" w:cs="Times New Roman"/>
                <w:b/>
                <w:sz w:val="22"/>
                <w:highlight w:val="yellow"/>
                <w:lang w:val="fr-FR" w:eastAsia="fr-FR" w:bidi="fr-FR"/>
              </w:rPr>
              <w:t xml:space="preserve"> </w:t>
            </w:r>
            <w:r w:rsidRPr="00DB2F4A">
              <w:rPr>
                <w:rFonts w:ascii="Times New Roman" w:eastAsia="Times New Roman" w:hAnsi="Times New Roman" w:cs="Times New Roman"/>
                <w:b/>
                <w:sz w:val="22"/>
                <w:highlight w:val="yellow"/>
                <w:lang w:val="fr-FR" w:eastAsia="fr-FR" w:bidi="fr-FR"/>
              </w:rPr>
              <w:t>mL chacune)</w:t>
            </w:r>
          </w:p>
        </w:tc>
        <w:tc>
          <w:tcPr>
            <w:tcW w:w="1166" w:type="dxa"/>
          </w:tcPr>
          <w:p w14:paraId="2A8B0DED" w14:textId="65C9BB80" w:rsidR="0056738C" w:rsidRPr="0056738C" w:rsidRDefault="0052319E" w:rsidP="002C123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4D1595">
              <w:rPr>
                <w:rFonts w:ascii="Times New Roman" w:eastAsia="Times New Roman" w:hAnsi="Times New Roman" w:cs="Times New Roman"/>
                <w:sz w:val="22"/>
                <w:highlight w:val="yellow"/>
                <w:lang w:val="en-US" w:bidi="en-US"/>
              </w:rPr>
              <w:t>4</w:t>
            </w:r>
            <w:r w:rsidR="001F66AA">
              <w:rPr>
                <w:rFonts w:ascii="Times New Roman" w:eastAsia="Times New Roman" w:hAnsi="Times New Roman" w:cs="Times New Roman"/>
                <w:sz w:val="22"/>
                <w:highlight w:val="yellow"/>
                <w:lang w:val="en-US" w:bidi="en-US"/>
              </w:rPr>
              <w:t>,</w:t>
            </w:r>
            <w:r w:rsidRPr="004D1595">
              <w:rPr>
                <w:rFonts w:ascii="Times New Roman" w:eastAsia="Times New Roman" w:hAnsi="Times New Roman" w:cs="Times New Roman"/>
                <w:sz w:val="22"/>
                <w:highlight w:val="yellow"/>
                <w:lang w:val="en-US" w:bidi="en-US"/>
              </w:rPr>
              <w:t>48</w:t>
            </w:r>
          </w:p>
        </w:tc>
      </w:tr>
    </w:tbl>
    <w:p w14:paraId="687F7EC7" w14:textId="77777777" w:rsidR="002C1232" w:rsidRDefault="002C1232" w:rsidP="00CC5BA6">
      <w:pPr>
        <w:rPr>
          <w:lang w:val="fr-CA"/>
        </w:rPr>
      </w:pPr>
    </w:p>
    <w:tbl>
      <w:tblPr>
        <w:tblW w:w="0" w:type="auto"/>
        <w:tblInd w:w="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87"/>
        <w:gridCol w:w="1166"/>
      </w:tblGrid>
      <w:tr w:rsidR="002C1232" w:rsidRPr="0056738C" w14:paraId="66A5112E" w14:textId="77777777" w:rsidTr="00BB2B5A">
        <w:trPr>
          <w:trHeight w:val="348"/>
        </w:trPr>
        <w:tc>
          <w:tcPr>
            <w:tcW w:w="5687" w:type="dxa"/>
            <w:shd w:val="clear" w:color="auto" w:fill="E7E6E6" w:themeFill="background2"/>
          </w:tcPr>
          <w:p w14:paraId="7F708FBA" w14:textId="77777777" w:rsidR="002C1232" w:rsidRPr="0056738C" w:rsidRDefault="002C1232" w:rsidP="00BB2B5A">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b/>
                <w:sz w:val="22"/>
                <w:lang w:val="fr-FR" w:eastAsia="fr-FR" w:bidi="fr-FR"/>
              </w:rPr>
              <w:t>Montants payables - sommaire</w:t>
            </w:r>
          </w:p>
        </w:tc>
        <w:tc>
          <w:tcPr>
            <w:tcW w:w="1166" w:type="dxa"/>
            <w:shd w:val="clear" w:color="auto" w:fill="E7E6E6" w:themeFill="background2"/>
          </w:tcPr>
          <w:p w14:paraId="1C46DFD0" w14:textId="77777777" w:rsidR="002C1232" w:rsidRDefault="002C1232" w:rsidP="00BB2B5A">
            <w:pPr>
              <w:widowControl w:val="0"/>
              <w:autoSpaceDE w:val="0"/>
              <w:autoSpaceDN w:val="0"/>
              <w:spacing w:after="0" w:line="235" w:lineRule="exact"/>
              <w:ind w:left="70"/>
              <w:rPr>
                <w:rFonts w:ascii="Times New Roman" w:eastAsia="Times New Roman" w:hAnsi="Times New Roman" w:cs="Times New Roman"/>
                <w:b/>
                <w:sz w:val="22"/>
                <w:lang w:val="fr-FR" w:eastAsia="fr-FR" w:bidi="fr-FR"/>
              </w:rPr>
            </w:pPr>
            <w:r w:rsidRPr="0056738C">
              <w:rPr>
                <w:rFonts w:ascii="Times New Roman" w:eastAsia="Times New Roman" w:hAnsi="Times New Roman" w:cs="Times New Roman"/>
                <w:b/>
                <w:sz w:val="22"/>
                <w:lang w:val="fr-FR" w:eastAsia="fr-FR" w:bidi="fr-FR"/>
              </w:rPr>
              <w:t>Montant</w:t>
            </w:r>
          </w:p>
          <w:p w14:paraId="6604F12C" w14:textId="77777777" w:rsidR="002C1232" w:rsidRPr="0056738C" w:rsidRDefault="002C1232" w:rsidP="00BB2B5A">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Pr>
                <w:rFonts w:ascii="Times New Roman" w:eastAsia="Times New Roman" w:hAnsi="Times New Roman" w:cs="Times New Roman"/>
                <w:b/>
                <w:sz w:val="22"/>
                <w:lang w:val="fr-FR" w:eastAsia="fr-FR" w:bidi="fr-FR"/>
              </w:rPr>
              <w:t>($)</w:t>
            </w:r>
          </w:p>
        </w:tc>
      </w:tr>
      <w:tr w:rsidR="002C1232" w:rsidRPr="0056738C" w14:paraId="526CCF66" w14:textId="77777777" w:rsidTr="00BB2B5A">
        <w:trPr>
          <w:trHeight w:val="348"/>
        </w:trPr>
        <w:tc>
          <w:tcPr>
            <w:tcW w:w="5687" w:type="dxa"/>
          </w:tcPr>
          <w:p w14:paraId="6590F6A3" w14:textId="77777777" w:rsidR="002C1232" w:rsidRPr="0056738C" w:rsidRDefault="002C1232" w:rsidP="00BB2B5A">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Droit de douane</w:t>
            </w:r>
          </w:p>
        </w:tc>
        <w:tc>
          <w:tcPr>
            <w:tcW w:w="1166" w:type="dxa"/>
          </w:tcPr>
          <w:p w14:paraId="0552BEC2" w14:textId="77777777" w:rsidR="002C1232" w:rsidRPr="0056738C" w:rsidRDefault="002C1232" w:rsidP="00BB2B5A">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0</w:t>
            </w:r>
          </w:p>
        </w:tc>
      </w:tr>
      <w:tr w:rsidR="0052319E" w:rsidRPr="0056738C" w14:paraId="137640B2" w14:textId="77777777" w:rsidTr="00BB2B5A">
        <w:trPr>
          <w:trHeight w:val="348"/>
        </w:trPr>
        <w:tc>
          <w:tcPr>
            <w:tcW w:w="5687" w:type="dxa"/>
          </w:tcPr>
          <w:p w14:paraId="335D5B5D" w14:textId="297C4587" w:rsidR="0052319E" w:rsidRPr="00A42EEC" w:rsidRDefault="0052319E" w:rsidP="0052319E">
            <w:pPr>
              <w:widowControl w:val="0"/>
              <w:autoSpaceDE w:val="0"/>
              <w:autoSpaceDN w:val="0"/>
              <w:spacing w:after="0" w:line="234" w:lineRule="exact"/>
              <w:ind w:left="70"/>
              <w:rPr>
                <w:rFonts w:ascii="Times New Roman" w:eastAsia="Times New Roman" w:hAnsi="Times New Roman" w:cs="Times New Roman"/>
                <w:sz w:val="22"/>
                <w:vertAlign w:val="superscript"/>
                <w:lang w:val="fr-FR" w:eastAsia="fr-FR" w:bidi="fr-FR"/>
              </w:rPr>
            </w:pPr>
            <w:r w:rsidRPr="0056738C">
              <w:rPr>
                <w:rFonts w:ascii="Times New Roman" w:eastAsia="Times New Roman" w:hAnsi="Times New Roman" w:cs="Times New Roman"/>
                <w:sz w:val="22"/>
                <w:lang w:val="fr-FR" w:eastAsia="fr-FR" w:bidi="fr-FR"/>
              </w:rPr>
              <w:t>Droit sur le vapotage</w:t>
            </w:r>
          </w:p>
        </w:tc>
        <w:tc>
          <w:tcPr>
            <w:tcW w:w="1166" w:type="dxa"/>
          </w:tcPr>
          <w:p w14:paraId="1F86DA6D" w14:textId="402C72F6" w:rsidR="0052319E" w:rsidRPr="0056738C" w:rsidRDefault="0052319E" w:rsidP="0052319E">
            <w:pPr>
              <w:widowControl w:val="0"/>
              <w:autoSpaceDE w:val="0"/>
              <w:autoSpaceDN w:val="0"/>
              <w:spacing w:after="0" w:line="234" w:lineRule="exact"/>
              <w:ind w:left="70"/>
              <w:rPr>
                <w:rFonts w:ascii="Times New Roman" w:eastAsia="Times New Roman" w:hAnsi="Times New Roman" w:cs="Times New Roman"/>
                <w:sz w:val="22"/>
                <w:lang w:val="fr-FR" w:eastAsia="fr-FR" w:bidi="fr-FR"/>
              </w:rPr>
            </w:pPr>
            <w:r w:rsidRPr="004D1595">
              <w:rPr>
                <w:rFonts w:ascii="Times New Roman" w:eastAsia="Times New Roman" w:hAnsi="Times New Roman" w:cs="Times New Roman"/>
                <w:sz w:val="22"/>
                <w:highlight w:val="yellow"/>
                <w:lang w:val="en-US" w:bidi="en-US"/>
              </w:rPr>
              <w:t>4</w:t>
            </w:r>
            <w:r w:rsidR="001F66AA">
              <w:rPr>
                <w:rFonts w:ascii="Times New Roman" w:eastAsia="Times New Roman" w:hAnsi="Times New Roman" w:cs="Times New Roman"/>
                <w:sz w:val="22"/>
                <w:highlight w:val="yellow"/>
                <w:lang w:val="en-US" w:bidi="en-US"/>
              </w:rPr>
              <w:t>,</w:t>
            </w:r>
            <w:r w:rsidRPr="004D1595">
              <w:rPr>
                <w:rFonts w:ascii="Times New Roman" w:eastAsia="Times New Roman" w:hAnsi="Times New Roman" w:cs="Times New Roman"/>
                <w:sz w:val="22"/>
                <w:highlight w:val="yellow"/>
                <w:lang w:val="en-US" w:bidi="en-US"/>
              </w:rPr>
              <w:t>48</w:t>
            </w:r>
          </w:p>
        </w:tc>
      </w:tr>
      <w:tr w:rsidR="0052319E" w:rsidRPr="0056738C" w14:paraId="21A7BA2E" w14:textId="77777777" w:rsidTr="00BB2B5A">
        <w:trPr>
          <w:trHeight w:val="331"/>
        </w:trPr>
        <w:tc>
          <w:tcPr>
            <w:tcW w:w="5687" w:type="dxa"/>
          </w:tcPr>
          <w:p w14:paraId="3A9CAFE0" w14:textId="77777777" w:rsidR="0052319E" w:rsidRPr="0056738C" w:rsidRDefault="0052319E" w:rsidP="0052319E">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Sous-total (valeur pour taxe)</w:t>
            </w:r>
          </w:p>
        </w:tc>
        <w:tc>
          <w:tcPr>
            <w:tcW w:w="1166" w:type="dxa"/>
          </w:tcPr>
          <w:p w14:paraId="2813FB98" w14:textId="46F0A243" w:rsidR="0052319E" w:rsidRPr="0056738C" w:rsidRDefault="0052319E" w:rsidP="0052319E">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4D1595">
              <w:rPr>
                <w:rFonts w:ascii="Times New Roman" w:eastAsia="Times New Roman" w:hAnsi="Times New Roman" w:cs="Times New Roman"/>
                <w:sz w:val="22"/>
                <w:highlight w:val="yellow"/>
                <w:lang w:val="en-US" w:bidi="en-US"/>
              </w:rPr>
              <w:t>44</w:t>
            </w:r>
            <w:r w:rsidR="001F66AA">
              <w:rPr>
                <w:rFonts w:ascii="Times New Roman" w:eastAsia="Times New Roman" w:hAnsi="Times New Roman" w:cs="Times New Roman"/>
                <w:sz w:val="22"/>
                <w:highlight w:val="yellow"/>
                <w:lang w:val="en-US" w:bidi="en-US"/>
              </w:rPr>
              <w:t>,</w:t>
            </w:r>
            <w:r w:rsidRPr="004D1595">
              <w:rPr>
                <w:rFonts w:ascii="Times New Roman" w:eastAsia="Times New Roman" w:hAnsi="Times New Roman" w:cs="Times New Roman"/>
                <w:sz w:val="22"/>
                <w:highlight w:val="yellow"/>
                <w:lang w:val="en-US" w:bidi="en-US"/>
              </w:rPr>
              <w:t>48</w:t>
            </w:r>
          </w:p>
        </w:tc>
      </w:tr>
      <w:tr w:rsidR="0052319E" w:rsidRPr="0056738C" w14:paraId="065188B0" w14:textId="77777777" w:rsidTr="00BB2B5A">
        <w:trPr>
          <w:trHeight w:val="348"/>
        </w:trPr>
        <w:tc>
          <w:tcPr>
            <w:tcW w:w="5687" w:type="dxa"/>
          </w:tcPr>
          <w:p w14:paraId="3A9E46E3" w14:textId="77777777" w:rsidR="0052319E" w:rsidRPr="0056738C" w:rsidRDefault="0052319E" w:rsidP="0052319E">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TPS</w:t>
            </w:r>
          </w:p>
        </w:tc>
        <w:tc>
          <w:tcPr>
            <w:tcW w:w="1166" w:type="dxa"/>
          </w:tcPr>
          <w:p w14:paraId="65123393" w14:textId="0095B0DD" w:rsidR="0052319E" w:rsidRPr="0056738C" w:rsidRDefault="001F66AA" w:rsidP="0052319E">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Pr>
                <w:rFonts w:ascii="Times New Roman" w:eastAsia="Times New Roman" w:hAnsi="Times New Roman" w:cs="Times New Roman"/>
                <w:sz w:val="22"/>
                <w:highlight w:val="yellow"/>
                <w:lang w:val="en-US" w:bidi="en-US"/>
              </w:rPr>
              <w:t>2,</w:t>
            </w:r>
            <w:r w:rsidR="0052319E" w:rsidRPr="004D1595">
              <w:rPr>
                <w:rFonts w:ascii="Times New Roman" w:eastAsia="Times New Roman" w:hAnsi="Times New Roman" w:cs="Times New Roman"/>
                <w:sz w:val="22"/>
                <w:highlight w:val="yellow"/>
                <w:lang w:val="en-US" w:bidi="en-US"/>
              </w:rPr>
              <w:t>22</w:t>
            </w:r>
          </w:p>
        </w:tc>
      </w:tr>
      <w:tr w:rsidR="0052319E" w:rsidRPr="0056738C" w14:paraId="76625C9B" w14:textId="77777777" w:rsidTr="00BB2B5A">
        <w:trPr>
          <w:trHeight w:val="332"/>
        </w:trPr>
        <w:tc>
          <w:tcPr>
            <w:tcW w:w="5687" w:type="dxa"/>
          </w:tcPr>
          <w:p w14:paraId="00F58C34" w14:textId="77777777" w:rsidR="0052319E" w:rsidRPr="0056738C" w:rsidRDefault="0052319E" w:rsidP="0052319E">
            <w:pPr>
              <w:widowControl w:val="0"/>
              <w:autoSpaceDE w:val="0"/>
              <w:autoSpaceDN w:val="0"/>
              <w:spacing w:after="0" w:line="235" w:lineRule="exact"/>
              <w:ind w:left="70"/>
              <w:rPr>
                <w:rFonts w:ascii="Times New Roman" w:eastAsia="Times New Roman" w:hAnsi="Times New Roman" w:cs="Times New Roman"/>
                <w:b/>
                <w:sz w:val="22"/>
                <w:lang w:val="fr-FR" w:eastAsia="fr-FR" w:bidi="fr-FR"/>
              </w:rPr>
            </w:pPr>
            <w:r w:rsidRPr="0056738C">
              <w:rPr>
                <w:rFonts w:ascii="Times New Roman" w:eastAsia="Times New Roman" w:hAnsi="Times New Roman" w:cs="Times New Roman"/>
                <w:b/>
                <w:sz w:val="22"/>
                <w:lang w:val="fr-FR" w:eastAsia="fr-FR" w:bidi="fr-FR"/>
              </w:rPr>
              <w:t>Montant total de droits et taxes</w:t>
            </w:r>
          </w:p>
        </w:tc>
        <w:tc>
          <w:tcPr>
            <w:tcW w:w="1166" w:type="dxa"/>
          </w:tcPr>
          <w:p w14:paraId="67104635" w14:textId="38FB4FBB" w:rsidR="0052319E" w:rsidRPr="0056738C" w:rsidRDefault="001F66AA" w:rsidP="0052319E">
            <w:pPr>
              <w:widowControl w:val="0"/>
              <w:autoSpaceDE w:val="0"/>
              <w:autoSpaceDN w:val="0"/>
              <w:spacing w:after="0" w:line="235" w:lineRule="exact"/>
              <w:ind w:left="70"/>
              <w:rPr>
                <w:rFonts w:ascii="Times New Roman" w:eastAsia="Times New Roman" w:hAnsi="Times New Roman" w:cs="Times New Roman"/>
                <w:b/>
                <w:sz w:val="22"/>
                <w:lang w:val="fr-FR" w:eastAsia="fr-FR" w:bidi="fr-FR"/>
              </w:rPr>
            </w:pPr>
            <w:r>
              <w:rPr>
                <w:rFonts w:ascii="Times New Roman" w:eastAsia="Times New Roman" w:hAnsi="Times New Roman" w:cs="Times New Roman"/>
                <w:b/>
                <w:sz w:val="22"/>
                <w:highlight w:val="yellow"/>
                <w:lang w:val="en-US" w:bidi="en-US"/>
              </w:rPr>
              <w:t>6,</w:t>
            </w:r>
            <w:r w:rsidR="0052319E" w:rsidRPr="004D1595">
              <w:rPr>
                <w:rFonts w:ascii="Times New Roman" w:eastAsia="Times New Roman" w:hAnsi="Times New Roman" w:cs="Times New Roman"/>
                <w:b/>
                <w:sz w:val="22"/>
                <w:highlight w:val="yellow"/>
                <w:lang w:val="en-US" w:bidi="en-US"/>
              </w:rPr>
              <w:t>70</w:t>
            </w:r>
          </w:p>
        </w:tc>
      </w:tr>
    </w:tbl>
    <w:p w14:paraId="7F0BFF12" w14:textId="77777777" w:rsidR="002C1232" w:rsidRDefault="002C1232" w:rsidP="00CC5BA6">
      <w:pPr>
        <w:rPr>
          <w:lang w:val="fr-CA"/>
        </w:rPr>
      </w:pPr>
    </w:p>
    <w:p w14:paraId="69338CC0" w14:textId="2B48884C" w:rsidR="00CC5BA6" w:rsidRPr="00CC5BA6" w:rsidRDefault="00CC5BA6" w:rsidP="00CC5BA6">
      <w:pPr>
        <w:rPr>
          <w:lang w:val="fr-CA"/>
        </w:rPr>
      </w:pPr>
      <w:r w:rsidRPr="00CC5BA6">
        <w:rPr>
          <w:lang w:val="fr-CA"/>
        </w:rPr>
        <w:t>Note</w:t>
      </w:r>
      <w:r w:rsidR="00EC5E6A">
        <w:rPr>
          <w:lang w:val="fr-CA"/>
        </w:rPr>
        <w:t xml:space="preserve"> du tableau</w:t>
      </w:r>
      <w:r w:rsidRPr="00CC5BA6">
        <w:rPr>
          <w:lang w:val="fr-CA"/>
        </w:rPr>
        <w:t>: Le droit sur le vapotage est calculé sur la quantité de matière de vapotage contenue dans chaque dispositif ou contenant individuel et non sur la quantité totale contenue dans un ensemble.</w:t>
      </w:r>
    </w:p>
    <w:p w14:paraId="05FCA46A" w14:textId="4DD4F66C" w:rsidR="0056738C" w:rsidRDefault="00BA2C82">
      <w:pPr>
        <w:pStyle w:val="Heading4"/>
      </w:pPr>
      <w:r w:rsidRPr="00E33C56">
        <w:t>Exemple</w:t>
      </w:r>
      <w:r w:rsidR="006016D6">
        <w:t xml:space="preserve"> 2</w:t>
      </w:r>
      <w:r w:rsidR="00CC5BA6" w:rsidRPr="00A42EEC">
        <w:t xml:space="preserve"> – importation de marchandises </w:t>
      </w:r>
      <w:r w:rsidR="00CC5BA6" w:rsidRPr="000C5F67">
        <w:t>commerciales</w:t>
      </w:r>
      <w:r w:rsidR="003E4F9F" w:rsidRPr="000C5F67">
        <w:t xml:space="preserve"> </w:t>
      </w:r>
      <w:r w:rsidR="003E4F9F" w:rsidRPr="00CE70F3">
        <w:t xml:space="preserve">lorsque le droit sur le vapotage est </w:t>
      </w:r>
      <w:r w:rsidR="00D14570">
        <w:t>exigible</w:t>
      </w:r>
      <w:r w:rsidR="00D14570" w:rsidRPr="00CE70F3">
        <w:t xml:space="preserve"> </w:t>
      </w:r>
      <w:r w:rsidR="003E4F9F" w:rsidRPr="00CE70F3">
        <w:t xml:space="preserve">et le droit additionnel </w:t>
      </w:r>
      <w:r w:rsidR="00142B60" w:rsidRPr="00D14570">
        <w:t>sur le vapotage</w:t>
      </w:r>
      <w:r w:rsidR="00142B60">
        <w:t xml:space="preserve"> </w:t>
      </w:r>
      <w:r w:rsidR="00CF6475" w:rsidRPr="00CE70F3">
        <w:t>n’</w:t>
      </w:r>
      <w:r w:rsidR="003E4F9F" w:rsidRPr="00CE70F3">
        <w:t xml:space="preserve">est </w:t>
      </w:r>
      <w:r w:rsidR="00CF6475" w:rsidRPr="00CE70F3">
        <w:t>pas</w:t>
      </w:r>
      <w:r w:rsidR="003E4F9F" w:rsidRPr="00CE70F3">
        <w:t xml:space="preserve"> applicable</w:t>
      </w:r>
    </w:p>
    <w:p w14:paraId="17432B03" w14:textId="77777777" w:rsidR="006016D6" w:rsidRPr="006016D6" w:rsidRDefault="006016D6" w:rsidP="006016D6">
      <w:pPr>
        <w:rPr>
          <w:lang w:val="fr-CA"/>
        </w:rPr>
      </w:pPr>
    </w:p>
    <w:tbl>
      <w:tblPr>
        <w:tblW w:w="0" w:type="auto"/>
        <w:tblInd w:w="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87"/>
        <w:gridCol w:w="1166"/>
      </w:tblGrid>
      <w:tr w:rsidR="006016D6" w:rsidRPr="006016D6" w14:paraId="4A610238" w14:textId="77777777" w:rsidTr="006016D6">
        <w:trPr>
          <w:trHeight w:val="348"/>
        </w:trPr>
        <w:tc>
          <w:tcPr>
            <w:tcW w:w="5687" w:type="dxa"/>
            <w:shd w:val="clear" w:color="auto" w:fill="E7E6E6" w:themeFill="background2"/>
          </w:tcPr>
          <w:p w14:paraId="0A009D71" w14:textId="19CC89F5" w:rsidR="006016D6" w:rsidRPr="0056738C" w:rsidRDefault="006016D6" w:rsidP="00DA48E7">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CC5BA6">
              <w:rPr>
                <w:rFonts w:ascii="Times New Roman" w:eastAsia="Times New Roman" w:hAnsi="Times New Roman" w:cs="Times New Roman"/>
                <w:b/>
                <w:sz w:val="22"/>
                <w:lang w:val="fr-FR" w:eastAsia="fr-FR" w:bidi="fr-FR"/>
              </w:rPr>
              <w:t>Une bouteille de 30 grammes de produit de vapotage solide</w:t>
            </w:r>
          </w:p>
        </w:tc>
        <w:tc>
          <w:tcPr>
            <w:tcW w:w="1166" w:type="dxa"/>
            <w:shd w:val="clear" w:color="auto" w:fill="E7E6E6" w:themeFill="background2"/>
          </w:tcPr>
          <w:p w14:paraId="7A395FDB" w14:textId="77777777" w:rsidR="006016D6" w:rsidRDefault="006016D6" w:rsidP="006016D6">
            <w:pPr>
              <w:widowControl w:val="0"/>
              <w:autoSpaceDE w:val="0"/>
              <w:autoSpaceDN w:val="0"/>
              <w:spacing w:after="0" w:line="235" w:lineRule="exact"/>
              <w:ind w:left="70"/>
              <w:rPr>
                <w:rFonts w:ascii="Times New Roman" w:eastAsia="Times New Roman" w:hAnsi="Times New Roman" w:cs="Times New Roman"/>
                <w:b/>
                <w:sz w:val="22"/>
                <w:lang w:val="fr-FR" w:eastAsia="fr-FR" w:bidi="fr-FR"/>
              </w:rPr>
            </w:pPr>
            <w:r w:rsidRPr="0056738C">
              <w:rPr>
                <w:rFonts w:ascii="Times New Roman" w:eastAsia="Times New Roman" w:hAnsi="Times New Roman" w:cs="Times New Roman"/>
                <w:b/>
                <w:sz w:val="22"/>
                <w:lang w:val="fr-FR" w:eastAsia="fr-FR" w:bidi="fr-FR"/>
              </w:rPr>
              <w:t>Montant</w:t>
            </w:r>
          </w:p>
          <w:p w14:paraId="54A49E7D" w14:textId="061F5B82" w:rsidR="006016D6" w:rsidRDefault="006016D6" w:rsidP="006016D6">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Pr>
                <w:rFonts w:ascii="Times New Roman" w:eastAsia="Times New Roman" w:hAnsi="Times New Roman" w:cs="Times New Roman"/>
                <w:b/>
                <w:sz w:val="22"/>
                <w:lang w:val="fr-FR" w:eastAsia="fr-FR" w:bidi="fr-FR"/>
              </w:rPr>
              <w:t>($)</w:t>
            </w:r>
          </w:p>
        </w:tc>
      </w:tr>
      <w:tr w:rsidR="00CC5BA6" w:rsidRPr="0056738C" w14:paraId="575196C1" w14:textId="77777777" w:rsidTr="00E46296">
        <w:trPr>
          <w:trHeight w:val="348"/>
        </w:trPr>
        <w:tc>
          <w:tcPr>
            <w:tcW w:w="5687" w:type="dxa"/>
          </w:tcPr>
          <w:p w14:paraId="6DD5FB86" w14:textId="77777777" w:rsidR="00CC5BA6" w:rsidRPr="0056738C" w:rsidRDefault="00CC5BA6" w:rsidP="00DA48E7">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Valeur en douane (VD)</w:t>
            </w:r>
          </w:p>
        </w:tc>
        <w:tc>
          <w:tcPr>
            <w:tcW w:w="1166" w:type="dxa"/>
          </w:tcPr>
          <w:p w14:paraId="451F2815" w14:textId="3D2FD791" w:rsidR="00CC5BA6" w:rsidRPr="0056738C" w:rsidRDefault="000845E7" w:rsidP="00976B61">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Pr>
                <w:rFonts w:ascii="Times New Roman" w:eastAsia="Times New Roman" w:hAnsi="Times New Roman" w:cs="Times New Roman"/>
                <w:sz w:val="22"/>
                <w:lang w:val="fr-FR" w:eastAsia="fr-FR" w:bidi="fr-FR"/>
              </w:rPr>
              <w:t>5</w:t>
            </w:r>
            <w:r w:rsidR="00CC5BA6" w:rsidRPr="0056738C">
              <w:rPr>
                <w:rFonts w:ascii="Times New Roman" w:eastAsia="Times New Roman" w:hAnsi="Times New Roman" w:cs="Times New Roman"/>
                <w:sz w:val="22"/>
                <w:lang w:val="fr-FR" w:eastAsia="fr-FR" w:bidi="fr-FR"/>
              </w:rPr>
              <w:t>0</w:t>
            </w:r>
          </w:p>
        </w:tc>
      </w:tr>
      <w:tr w:rsidR="00CC5BA6" w:rsidRPr="0056738C" w14:paraId="25528A63" w14:textId="77777777" w:rsidTr="00E46296">
        <w:trPr>
          <w:trHeight w:val="332"/>
        </w:trPr>
        <w:tc>
          <w:tcPr>
            <w:tcW w:w="5687" w:type="dxa"/>
          </w:tcPr>
          <w:p w14:paraId="70113DE1" w14:textId="77777777" w:rsidR="00CC5BA6" w:rsidRPr="0056738C" w:rsidRDefault="00CC5BA6" w:rsidP="00DA48E7">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Droit de douane (ces marchandises sont en franchise de droits)</w:t>
            </w:r>
          </w:p>
        </w:tc>
        <w:tc>
          <w:tcPr>
            <w:tcW w:w="1166" w:type="dxa"/>
          </w:tcPr>
          <w:p w14:paraId="607FE3C9" w14:textId="6F6DAEEA" w:rsidR="00CC5BA6" w:rsidRPr="0056738C" w:rsidRDefault="00CC5BA6" w:rsidP="00976B61">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0</w:t>
            </w:r>
          </w:p>
        </w:tc>
      </w:tr>
      <w:tr w:rsidR="00CC5BA6" w:rsidRPr="0056738C" w14:paraId="75C3988E" w14:textId="77777777" w:rsidTr="00E46296">
        <w:trPr>
          <w:trHeight w:val="1309"/>
        </w:trPr>
        <w:tc>
          <w:tcPr>
            <w:tcW w:w="5687" w:type="dxa"/>
          </w:tcPr>
          <w:p w14:paraId="695CD9B7" w14:textId="77777777" w:rsidR="000845E7" w:rsidRPr="000845E7" w:rsidRDefault="000845E7" w:rsidP="000845E7">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0845E7">
              <w:rPr>
                <w:rFonts w:ascii="Times New Roman" w:eastAsia="Times New Roman" w:hAnsi="Times New Roman" w:cs="Times New Roman"/>
                <w:sz w:val="22"/>
                <w:lang w:val="fr-FR" w:eastAsia="fr-FR" w:bidi="fr-FR"/>
              </w:rPr>
              <w:t xml:space="preserve">Droit sur le vapotage </w:t>
            </w:r>
          </w:p>
          <w:p w14:paraId="2A1927C2" w14:textId="178F8EBE" w:rsidR="000845E7" w:rsidRPr="000845E7" w:rsidRDefault="000845E7" w:rsidP="000845E7">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1F66AA">
              <w:rPr>
                <w:rFonts w:ascii="Times New Roman" w:eastAsia="Times New Roman" w:hAnsi="Times New Roman" w:cs="Times New Roman"/>
                <w:sz w:val="22"/>
                <w:highlight w:val="yellow"/>
                <w:lang w:val="fr-FR" w:eastAsia="fr-FR" w:bidi="fr-FR"/>
              </w:rPr>
              <w:t>1</w:t>
            </w:r>
            <w:r w:rsidR="001F66AA" w:rsidRPr="001F66AA">
              <w:rPr>
                <w:rFonts w:ascii="Times New Roman" w:eastAsia="Times New Roman" w:hAnsi="Times New Roman" w:cs="Times New Roman"/>
                <w:sz w:val="22"/>
                <w:highlight w:val="yellow"/>
                <w:lang w:val="fr-FR" w:eastAsia="fr-FR" w:bidi="fr-FR"/>
              </w:rPr>
              <w:t>,12</w:t>
            </w:r>
            <w:r w:rsidR="001F66AA">
              <w:rPr>
                <w:rFonts w:ascii="Times New Roman" w:eastAsia="Times New Roman" w:hAnsi="Times New Roman" w:cs="Times New Roman"/>
                <w:sz w:val="22"/>
                <w:lang w:val="fr-FR" w:eastAsia="fr-FR" w:bidi="fr-FR"/>
              </w:rPr>
              <w:t xml:space="preserve"> </w:t>
            </w:r>
            <w:r w:rsidRPr="000845E7">
              <w:rPr>
                <w:rFonts w:ascii="Times New Roman" w:eastAsia="Times New Roman" w:hAnsi="Times New Roman" w:cs="Times New Roman"/>
                <w:sz w:val="22"/>
                <w:lang w:val="fr-FR" w:eastAsia="fr-FR" w:bidi="fr-FR"/>
              </w:rPr>
              <w:t>$ par 2 grammes (g), ou fraction de cette quantité, pour les premiers 10 g de substance de vapotage et,</w:t>
            </w:r>
          </w:p>
          <w:p w14:paraId="221714FF" w14:textId="725FCEEB" w:rsidR="000845E7" w:rsidRPr="000845E7" w:rsidRDefault="000845E7" w:rsidP="000845E7">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1F66AA">
              <w:rPr>
                <w:rFonts w:ascii="Times New Roman" w:eastAsia="Times New Roman" w:hAnsi="Times New Roman" w:cs="Times New Roman"/>
                <w:sz w:val="22"/>
                <w:highlight w:val="yellow"/>
                <w:lang w:val="fr-FR" w:eastAsia="fr-FR" w:bidi="fr-FR"/>
              </w:rPr>
              <w:t>1</w:t>
            </w:r>
            <w:r w:rsidR="001F66AA" w:rsidRPr="001F66AA">
              <w:rPr>
                <w:rFonts w:ascii="Times New Roman" w:eastAsia="Times New Roman" w:hAnsi="Times New Roman" w:cs="Times New Roman"/>
                <w:sz w:val="22"/>
                <w:highlight w:val="yellow"/>
                <w:lang w:val="fr-FR" w:eastAsia="fr-FR" w:bidi="fr-FR"/>
              </w:rPr>
              <w:t>,12</w:t>
            </w:r>
            <w:r w:rsidR="001F66AA">
              <w:rPr>
                <w:rFonts w:ascii="Times New Roman" w:eastAsia="Times New Roman" w:hAnsi="Times New Roman" w:cs="Times New Roman"/>
                <w:sz w:val="22"/>
                <w:lang w:val="fr-FR" w:eastAsia="fr-FR" w:bidi="fr-FR"/>
              </w:rPr>
              <w:t xml:space="preserve"> </w:t>
            </w:r>
            <w:r w:rsidRPr="000845E7">
              <w:rPr>
                <w:rFonts w:ascii="Times New Roman" w:eastAsia="Times New Roman" w:hAnsi="Times New Roman" w:cs="Times New Roman"/>
                <w:sz w:val="22"/>
                <w:lang w:val="fr-FR" w:eastAsia="fr-FR" w:bidi="fr-FR"/>
              </w:rPr>
              <w:t>$ par 10 g, ou fraction de cette quantité, pour les quantités au-dessus des premiers 10 g</w:t>
            </w:r>
          </w:p>
          <w:p w14:paraId="0A0832AE" w14:textId="7D3397D9" w:rsidR="00CC5BA6" w:rsidRPr="0056738C" w:rsidRDefault="000845E7" w:rsidP="000845E7">
            <w:pPr>
              <w:widowControl w:val="0"/>
              <w:autoSpaceDE w:val="0"/>
              <w:autoSpaceDN w:val="0"/>
              <w:spacing w:before="117" w:after="0" w:line="240" w:lineRule="auto"/>
              <w:ind w:left="70"/>
              <w:rPr>
                <w:rFonts w:ascii="Times New Roman" w:eastAsia="Times New Roman" w:hAnsi="Times New Roman" w:cs="Times New Roman"/>
                <w:b/>
                <w:sz w:val="22"/>
                <w:lang w:val="fr-FR" w:eastAsia="fr-FR" w:bidi="fr-FR"/>
              </w:rPr>
            </w:pPr>
            <w:r w:rsidRPr="000845E7">
              <w:rPr>
                <w:rFonts w:ascii="Times New Roman" w:eastAsia="Times New Roman" w:hAnsi="Times New Roman" w:cs="Times New Roman"/>
                <w:b/>
                <w:sz w:val="22"/>
                <w:lang w:val="fr-FR" w:eastAsia="fr-FR" w:bidi="fr-FR"/>
              </w:rPr>
              <w:t>(</w:t>
            </w:r>
            <w:r w:rsidRPr="001F66AA">
              <w:rPr>
                <w:rFonts w:ascii="Times New Roman" w:eastAsia="Times New Roman" w:hAnsi="Times New Roman" w:cs="Times New Roman"/>
                <w:b/>
                <w:sz w:val="22"/>
                <w:highlight w:val="yellow"/>
                <w:lang w:val="fr-FR" w:eastAsia="fr-FR" w:bidi="fr-FR"/>
              </w:rPr>
              <w:t>5</w:t>
            </w:r>
            <w:r w:rsidR="001F66AA" w:rsidRPr="001F66AA">
              <w:rPr>
                <w:rFonts w:ascii="Times New Roman" w:eastAsia="Times New Roman" w:hAnsi="Times New Roman" w:cs="Times New Roman"/>
                <w:b/>
                <w:sz w:val="22"/>
                <w:highlight w:val="yellow"/>
                <w:lang w:val="fr-FR" w:eastAsia="fr-FR" w:bidi="fr-FR"/>
              </w:rPr>
              <w:t>, 60</w:t>
            </w:r>
            <w:r w:rsidR="001F66AA">
              <w:rPr>
                <w:rFonts w:ascii="Times New Roman" w:eastAsia="Times New Roman" w:hAnsi="Times New Roman" w:cs="Times New Roman"/>
                <w:b/>
                <w:sz w:val="22"/>
                <w:lang w:val="fr-FR" w:eastAsia="fr-FR" w:bidi="fr-FR"/>
              </w:rPr>
              <w:t xml:space="preserve"> </w:t>
            </w:r>
            <w:r w:rsidRPr="000845E7">
              <w:rPr>
                <w:rFonts w:ascii="Times New Roman" w:eastAsia="Times New Roman" w:hAnsi="Times New Roman" w:cs="Times New Roman"/>
                <w:b/>
                <w:sz w:val="22"/>
                <w:lang w:val="fr-FR" w:eastAsia="fr-FR" w:bidi="fr-FR"/>
              </w:rPr>
              <w:t xml:space="preserve">$ pour les premiers 10 g plus </w:t>
            </w:r>
            <w:r w:rsidRPr="00FD01E3">
              <w:rPr>
                <w:rFonts w:ascii="Times New Roman" w:eastAsia="Times New Roman" w:hAnsi="Times New Roman" w:cs="Times New Roman"/>
                <w:b/>
                <w:sz w:val="22"/>
                <w:highlight w:val="yellow"/>
                <w:lang w:val="fr-FR" w:eastAsia="fr-FR" w:bidi="fr-FR"/>
              </w:rPr>
              <w:t>2</w:t>
            </w:r>
            <w:r w:rsidR="00FD01E3" w:rsidRPr="00FD01E3">
              <w:rPr>
                <w:rFonts w:ascii="Times New Roman" w:eastAsia="Times New Roman" w:hAnsi="Times New Roman" w:cs="Times New Roman"/>
                <w:b/>
                <w:sz w:val="22"/>
                <w:highlight w:val="yellow"/>
                <w:lang w:val="fr-FR" w:eastAsia="fr-FR" w:bidi="fr-FR"/>
              </w:rPr>
              <w:t>,24</w:t>
            </w:r>
            <w:r w:rsidR="00FD01E3">
              <w:rPr>
                <w:rFonts w:ascii="Times New Roman" w:eastAsia="Times New Roman" w:hAnsi="Times New Roman" w:cs="Times New Roman"/>
                <w:b/>
                <w:sz w:val="22"/>
                <w:lang w:val="fr-FR" w:eastAsia="fr-FR" w:bidi="fr-FR"/>
              </w:rPr>
              <w:t xml:space="preserve"> </w:t>
            </w:r>
            <w:r w:rsidRPr="000845E7">
              <w:rPr>
                <w:rFonts w:ascii="Times New Roman" w:eastAsia="Times New Roman" w:hAnsi="Times New Roman" w:cs="Times New Roman"/>
                <w:b/>
                <w:sz w:val="22"/>
                <w:lang w:val="fr-FR" w:eastAsia="fr-FR" w:bidi="fr-FR"/>
              </w:rPr>
              <w:t>$ pour les 20 g suivants)</w:t>
            </w:r>
          </w:p>
        </w:tc>
        <w:tc>
          <w:tcPr>
            <w:tcW w:w="1166" w:type="dxa"/>
          </w:tcPr>
          <w:p w14:paraId="778CF5EE" w14:textId="42520D28" w:rsidR="00CC5BA6" w:rsidRPr="0056738C" w:rsidRDefault="000845E7" w:rsidP="00976B61">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C73E5E">
              <w:rPr>
                <w:rFonts w:ascii="Times New Roman" w:eastAsia="Times New Roman" w:hAnsi="Times New Roman" w:cs="Times New Roman"/>
                <w:sz w:val="22"/>
                <w:highlight w:val="yellow"/>
                <w:lang w:val="fr-FR" w:eastAsia="fr-FR" w:bidi="fr-FR"/>
              </w:rPr>
              <w:t>7</w:t>
            </w:r>
            <w:r w:rsidR="007C04B3">
              <w:rPr>
                <w:rFonts w:ascii="Times New Roman" w:eastAsia="Times New Roman" w:hAnsi="Times New Roman" w:cs="Times New Roman"/>
                <w:sz w:val="22"/>
                <w:highlight w:val="yellow"/>
                <w:lang w:val="fr-FR" w:eastAsia="fr-FR" w:bidi="fr-FR"/>
              </w:rPr>
              <w:t>,84</w:t>
            </w:r>
          </w:p>
        </w:tc>
      </w:tr>
    </w:tbl>
    <w:p w14:paraId="02563933" w14:textId="77777777" w:rsidR="00CC72EC" w:rsidRDefault="00CC72EC">
      <w:pPr>
        <w:spacing w:after="0" w:line="240" w:lineRule="auto"/>
        <w:rPr>
          <w:lang w:val="fr-CA"/>
        </w:rPr>
      </w:pPr>
    </w:p>
    <w:p w14:paraId="487674C5" w14:textId="7E122BA6" w:rsidR="00CC72EC" w:rsidRDefault="00CC72EC">
      <w:pPr>
        <w:spacing w:after="0" w:line="240" w:lineRule="auto"/>
        <w:rPr>
          <w:lang w:val="fr-CA"/>
        </w:rPr>
      </w:pPr>
    </w:p>
    <w:tbl>
      <w:tblPr>
        <w:tblW w:w="0" w:type="auto"/>
        <w:tblInd w:w="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87"/>
        <w:gridCol w:w="1166"/>
      </w:tblGrid>
      <w:tr w:rsidR="00FF4147" w:rsidRPr="0056738C" w14:paraId="258E2607" w14:textId="77777777" w:rsidTr="00A42EEC">
        <w:trPr>
          <w:trHeight w:val="348"/>
        </w:trPr>
        <w:tc>
          <w:tcPr>
            <w:tcW w:w="5687" w:type="dxa"/>
            <w:shd w:val="clear" w:color="auto" w:fill="E7E6E6" w:themeFill="background2"/>
          </w:tcPr>
          <w:p w14:paraId="69D1286D" w14:textId="4612FB00" w:rsidR="00FF4147" w:rsidRPr="0056738C" w:rsidRDefault="00FF4147" w:rsidP="006033B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b/>
                <w:sz w:val="22"/>
                <w:lang w:val="fr-FR" w:eastAsia="fr-FR" w:bidi="fr-FR"/>
              </w:rPr>
              <w:t>Montants payables - sommaire</w:t>
            </w:r>
          </w:p>
        </w:tc>
        <w:tc>
          <w:tcPr>
            <w:tcW w:w="1166" w:type="dxa"/>
            <w:shd w:val="clear" w:color="auto" w:fill="E7E6E6" w:themeFill="background2"/>
          </w:tcPr>
          <w:p w14:paraId="7BAC0372" w14:textId="77777777" w:rsidR="00FF4147" w:rsidRDefault="00FF4147" w:rsidP="00FF4147">
            <w:pPr>
              <w:widowControl w:val="0"/>
              <w:autoSpaceDE w:val="0"/>
              <w:autoSpaceDN w:val="0"/>
              <w:spacing w:after="0" w:line="235" w:lineRule="exact"/>
              <w:ind w:left="70"/>
              <w:rPr>
                <w:rFonts w:ascii="Times New Roman" w:eastAsia="Times New Roman" w:hAnsi="Times New Roman" w:cs="Times New Roman"/>
                <w:b/>
                <w:sz w:val="22"/>
                <w:lang w:val="fr-FR" w:eastAsia="fr-FR" w:bidi="fr-FR"/>
              </w:rPr>
            </w:pPr>
            <w:r w:rsidRPr="0056738C">
              <w:rPr>
                <w:rFonts w:ascii="Times New Roman" w:eastAsia="Times New Roman" w:hAnsi="Times New Roman" w:cs="Times New Roman"/>
                <w:b/>
                <w:sz w:val="22"/>
                <w:lang w:val="fr-FR" w:eastAsia="fr-FR" w:bidi="fr-FR"/>
              </w:rPr>
              <w:t>Montant</w:t>
            </w:r>
          </w:p>
          <w:p w14:paraId="1808D2DD" w14:textId="110D2BDF" w:rsidR="00FF4147" w:rsidRPr="0056738C" w:rsidRDefault="00FF4147" w:rsidP="00FF4147">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Pr>
                <w:rFonts w:ascii="Times New Roman" w:eastAsia="Times New Roman" w:hAnsi="Times New Roman" w:cs="Times New Roman"/>
                <w:b/>
                <w:sz w:val="22"/>
                <w:lang w:val="fr-FR" w:eastAsia="fr-FR" w:bidi="fr-FR"/>
              </w:rPr>
              <w:t>($)</w:t>
            </w:r>
          </w:p>
        </w:tc>
      </w:tr>
      <w:tr w:rsidR="00FF4147" w:rsidRPr="0056738C" w14:paraId="3D473FE3" w14:textId="77777777" w:rsidTr="006033B2">
        <w:trPr>
          <w:trHeight w:val="348"/>
        </w:trPr>
        <w:tc>
          <w:tcPr>
            <w:tcW w:w="5687" w:type="dxa"/>
          </w:tcPr>
          <w:p w14:paraId="5199143E" w14:textId="77777777" w:rsidR="00FF4147" w:rsidRPr="0056738C" w:rsidRDefault="00FF4147" w:rsidP="006033B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Droit de douane</w:t>
            </w:r>
          </w:p>
        </w:tc>
        <w:tc>
          <w:tcPr>
            <w:tcW w:w="1166" w:type="dxa"/>
          </w:tcPr>
          <w:p w14:paraId="78AA6DE7" w14:textId="0441F7E6" w:rsidR="00FF4147" w:rsidRPr="0056738C" w:rsidRDefault="00FF4147">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0</w:t>
            </w:r>
          </w:p>
        </w:tc>
      </w:tr>
      <w:tr w:rsidR="00FF4147" w:rsidRPr="0056738C" w14:paraId="100F2F15" w14:textId="77777777" w:rsidTr="006033B2">
        <w:trPr>
          <w:trHeight w:val="348"/>
        </w:trPr>
        <w:tc>
          <w:tcPr>
            <w:tcW w:w="5687" w:type="dxa"/>
          </w:tcPr>
          <w:p w14:paraId="716AC2CD" w14:textId="77777777" w:rsidR="00FF4147" w:rsidRPr="0056738C" w:rsidRDefault="00FF4147" w:rsidP="006033B2">
            <w:pPr>
              <w:widowControl w:val="0"/>
              <w:autoSpaceDE w:val="0"/>
              <w:autoSpaceDN w:val="0"/>
              <w:spacing w:after="0" w:line="234"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Droit sur le vapotage</w:t>
            </w:r>
          </w:p>
        </w:tc>
        <w:tc>
          <w:tcPr>
            <w:tcW w:w="1166" w:type="dxa"/>
          </w:tcPr>
          <w:p w14:paraId="27C01C6C" w14:textId="0B3DAE7C" w:rsidR="00FF4147" w:rsidRPr="00C73E5E" w:rsidRDefault="00FF4147">
            <w:pPr>
              <w:widowControl w:val="0"/>
              <w:autoSpaceDE w:val="0"/>
              <w:autoSpaceDN w:val="0"/>
              <w:spacing w:after="0" w:line="234" w:lineRule="exact"/>
              <w:ind w:left="70"/>
              <w:rPr>
                <w:rFonts w:ascii="Times New Roman" w:eastAsia="Times New Roman" w:hAnsi="Times New Roman" w:cs="Times New Roman"/>
                <w:sz w:val="22"/>
                <w:highlight w:val="yellow"/>
                <w:lang w:val="fr-FR" w:eastAsia="fr-FR" w:bidi="fr-FR"/>
              </w:rPr>
            </w:pPr>
            <w:r w:rsidRPr="00C73E5E">
              <w:rPr>
                <w:rFonts w:ascii="Times New Roman" w:eastAsia="Times New Roman" w:hAnsi="Times New Roman" w:cs="Times New Roman"/>
                <w:sz w:val="22"/>
                <w:highlight w:val="yellow"/>
                <w:lang w:val="fr-FR" w:eastAsia="fr-FR" w:bidi="fr-FR"/>
              </w:rPr>
              <w:t>7</w:t>
            </w:r>
            <w:r w:rsidR="00C73E5E" w:rsidRPr="00C73E5E">
              <w:rPr>
                <w:rFonts w:ascii="Times New Roman" w:eastAsia="Times New Roman" w:hAnsi="Times New Roman" w:cs="Times New Roman"/>
                <w:sz w:val="22"/>
                <w:highlight w:val="yellow"/>
                <w:lang w:val="fr-FR" w:eastAsia="fr-FR" w:bidi="fr-FR"/>
              </w:rPr>
              <w:t>,84</w:t>
            </w:r>
          </w:p>
        </w:tc>
      </w:tr>
      <w:tr w:rsidR="00FF4147" w:rsidRPr="0056738C" w14:paraId="22C00CC1" w14:textId="77777777" w:rsidTr="006033B2">
        <w:trPr>
          <w:trHeight w:val="331"/>
        </w:trPr>
        <w:tc>
          <w:tcPr>
            <w:tcW w:w="5687" w:type="dxa"/>
          </w:tcPr>
          <w:p w14:paraId="318DF5EC" w14:textId="77777777" w:rsidR="00FF4147" w:rsidRPr="0056738C" w:rsidRDefault="00FF4147" w:rsidP="006033B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Sous-total (valeur pour taxe)</w:t>
            </w:r>
          </w:p>
        </w:tc>
        <w:tc>
          <w:tcPr>
            <w:tcW w:w="1166" w:type="dxa"/>
          </w:tcPr>
          <w:p w14:paraId="2E20288A" w14:textId="65F17063" w:rsidR="00FF4147" w:rsidRPr="00C73E5E" w:rsidRDefault="00FF4147">
            <w:pPr>
              <w:widowControl w:val="0"/>
              <w:autoSpaceDE w:val="0"/>
              <w:autoSpaceDN w:val="0"/>
              <w:spacing w:after="0" w:line="235" w:lineRule="exact"/>
              <w:ind w:left="70"/>
              <w:rPr>
                <w:rFonts w:ascii="Times New Roman" w:eastAsia="Times New Roman" w:hAnsi="Times New Roman" w:cs="Times New Roman"/>
                <w:sz w:val="22"/>
                <w:highlight w:val="yellow"/>
                <w:lang w:val="fr-FR" w:eastAsia="fr-FR" w:bidi="fr-FR"/>
              </w:rPr>
            </w:pPr>
            <w:r w:rsidRPr="00C73E5E">
              <w:rPr>
                <w:rFonts w:ascii="Times New Roman" w:eastAsia="Times New Roman" w:hAnsi="Times New Roman" w:cs="Times New Roman"/>
                <w:sz w:val="22"/>
                <w:highlight w:val="yellow"/>
                <w:lang w:val="fr-FR" w:eastAsia="fr-FR" w:bidi="fr-FR"/>
              </w:rPr>
              <w:t>57</w:t>
            </w:r>
            <w:r w:rsidR="00C73E5E" w:rsidRPr="00C73E5E">
              <w:rPr>
                <w:rFonts w:ascii="Times New Roman" w:eastAsia="Times New Roman" w:hAnsi="Times New Roman" w:cs="Times New Roman"/>
                <w:sz w:val="22"/>
                <w:highlight w:val="yellow"/>
                <w:lang w:val="fr-FR" w:eastAsia="fr-FR" w:bidi="fr-FR"/>
              </w:rPr>
              <w:t>,84</w:t>
            </w:r>
          </w:p>
        </w:tc>
      </w:tr>
      <w:tr w:rsidR="00FF4147" w:rsidRPr="0056738C" w14:paraId="58D19ABE" w14:textId="77777777" w:rsidTr="006033B2">
        <w:trPr>
          <w:trHeight w:val="348"/>
        </w:trPr>
        <w:tc>
          <w:tcPr>
            <w:tcW w:w="5687" w:type="dxa"/>
          </w:tcPr>
          <w:p w14:paraId="3CB5FAB1" w14:textId="77777777" w:rsidR="00FF4147" w:rsidRPr="0056738C" w:rsidRDefault="00FF4147" w:rsidP="006033B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lastRenderedPageBreak/>
              <w:t>TPS</w:t>
            </w:r>
          </w:p>
        </w:tc>
        <w:tc>
          <w:tcPr>
            <w:tcW w:w="1166" w:type="dxa"/>
          </w:tcPr>
          <w:p w14:paraId="2C5F2315" w14:textId="2E912E39" w:rsidR="00FF4147" w:rsidRPr="00C73E5E" w:rsidRDefault="00C73E5E">
            <w:pPr>
              <w:widowControl w:val="0"/>
              <w:autoSpaceDE w:val="0"/>
              <w:autoSpaceDN w:val="0"/>
              <w:spacing w:after="0" w:line="235" w:lineRule="exact"/>
              <w:ind w:left="70"/>
              <w:rPr>
                <w:rFonts w:ascii="Times New Roman" w:eastAsia="Times New Roman" w:hAnsi="Times New Roman" w:cs="Times New Roman"/>
                <w:sz w:val="22"/>
                <w:highlight w:val="yellow"/>
                <w:lang w:val="fr-FR" w:eastAsia="fr-FR" w:bidi="fr-FR"/>
              </w:rPr>
            </w:pPr>
            <w:r w:rsidRPr="00C73E5E">
              <w:rPr>
                <w:rFonts w:ascii="Times New Roman" w:eastAsia="Times New Roman" w:hAnsi="Times New Roman" w:cs="Times New Roman"/>
                <w:sz w:val="22"/>
                <w:highlight w:val="yellow"/>
                <w:lang w:val="fr-FR" w:eastAsia="fr-FR" w:bidi="fr-FR"/>
              </w:rPr>
              <w:t>2,89</w:t>
            </w:r>
          </w:p>
        </w:tc>
      </w:tr>
      <w:tr w:rsidR="00FF4147" w:rsidRPr="0056738C" w14:paraId="296FA0FF" w14:textId="77777777" w:rsidTr="006033B2">
        <w:trPr>
          <w:trHeight w:val="332"/>
        </w:trPr>
        <w:tc>
          <w:tcPr>
            <w:tcW w:w="5687" w:type="dxa"/>
          </w:tcPr>
          <w:p w14:paraId="7C2A5B1D" w14:textId="77777777" w:rsidR="00FF4147" w:rsidRPr="0056738C" w:rsidRDefault="00FF4147" w:rsidP="006033B2">
            <w:pPr>
              <w:widowControl w:val="0"/>
              <w:autoSpaceDE w:val="0"/>
              <w:autoSpaceDN w:val="0"/>
              <w:spacing w:after="0" w:line="235" w:lineRule="exact"/>
              <w:ind w:left="70"/>
              <w:rPr>
                <w:rFonts w:ascii="Times New Roman" w:eastAsia="Times New Roman" w:hAnsi="Times New Roman" w:cs="Times New Roman"/>
                <w:b/>
                <w:sz w:val="22"/>
                <w:lang w:val="fr-FR" w:eastAsia="fr-FR" w:bidi="fr-FR"/>
              </w:rPr>
            </w:pPr>
            <w:r w:rsidRPr="0056738C">
              <w:rPr>
                <w:rFonts w:ascii="Times New Roman" w:eastAsia="Times New Roman" w:hAnsi="Times New Roman" w:cs="Times New Roman"/>
                <w:b/>
                <w:sz w:val="22"/>
                <w:lang w:val="fr-FR" w:eastAsia="fr-FR" w:bidi="fr-FR"/>
              </w:rPr>
              <w:t>Montant total de droits et taxes</w:t>
            </w:r>
          </w:p>
        </w:tc>
        <w:tc>
          <w:tcPr>
            <w:tcW w:w="1166" w:type="dxa"/>
          </w:tcPr>
          <w:p w14:paraId="7FF65D8B" w14:textId="023EF616" w:rsidR="00FF4147" w:rsidRPr="00C73E5E" w:rsidRDefault="00C73E5E" w:rsidP="00C73E5E">
            <w:pPr>
              <w:widowControl w:val="0"/>
              <w:autoSpaceDE w:val="0"/>
              <w:autoSpaceDN w:val="0"/>
              <w:spacing w:after="0" w:line="235" w:lineRule="exact"/>
              <w:ind w:left="70"/>
              <w:rPr>
                <w:rFonts w:ascii="Times New Roman" w:eastAsia="Times New Roman" w:hAnsi="Times New Roman" w:cs="Times New Roman"/>
                <w:b/>
                <w:sz w:val="22"/>
                <w:highlight w:val="yellow"/>
                <w:lang w:val="fr-FR" w:eastAsia="fr-FR" w:bidi="fr-FR"/>
              </w:rPr>
            </w:pPr>
            <w:r w:rsidRPr="00C73E5E">
              <w:rPr>
                <w:rFonts w:ascii="Times New Roman" w:eastAsia="Times New Roman" w:hAnsi="Times New Roman" w:cs="Times New Roman"/>
                <w:b/>
                <w:sz w:val="22"/>
                <w:highlight w:val="yellow"/>
                <w:lang w:val="fr-FR" w:eastAsia="fr-FR" w:bidi="fr-FR"/>
              </w:rPr>
              <w:t>10</w:t>
            </w:r>
            <w:r w:rsidR="00FF4147" w:rsidRPr="00C73E5E">
              <w:rPr>
                <w:rFonts w:ascii="Times New Roman" w:eastAsia="Times New Roman" w:hAnsi="Times New Roman" w:cs="Times New Roman"/>
                <w:b/>
                <w:sz w:val="22"/>
                <w:highlight w:val="yellow"/>
                <w:lang w:val="fr-FR" w:eastAsia="fr-FR" w:bidi="fr-FR"/>
              </w:rPr>
              <w:t>,</w:t>
            </w:r>
            <w:r w:rsidRPr="00C73E5E">
              <w:rPr>
                <w:rFonts w:ascii="Times New Roman" w:eastAsia="Times New Roman" w:hAnsi="Times New Roman" w:cs="Times New Roman"/>
                <w:b/>
                <w:sz w:val="22"/>
                <w:highlight w:val="yellow"/>
                <w:lang w:val="fr-FR" w:eastAsia="fr-FR" w:bidi="fr-FR"/>
              </w:rPr>
              <w:t>73</w:t>
            </w:r>
          </w:p>
        </w:tc>
      </w:tr>
    </w:tbl>
    <w:p w14:paraId="1A2183C8" w14:textId="12C95412" w:rsidR="004F6145" w:rsidRDefault="004F6145">
      <w:pPr>
        <w:spacing w:after="0" w:line="240" w:lineRule="auto"/>
        <w:rPr>
          <w:lang w:val="fr-CA"/>
        </w:rPr>
      </w:pPr>
    </w:p>
    <w:p w14:paraId="50AAE3CC" w14:textId="46F1D7DC" w:rsidR="004F6145" w:rsidRDefault="004F6145">
      <w:pPr>
        <w:spacing w:after="0" w:line="240" w:lineRule="auto"/>
        <w:rPr>
          <w:lang w:val="fr-CA"/>
        </w:rPr>
      </w:pPr>
    </w:p>
    <w:p w14:paraId="5E1D1D47" w14:textId="7DFE650C" w:rsidR="000374A4" w:rsidRPr="00B8082C" w:rsidRDefault="000374A4" w:rsidP="000374A4">
      <w:pPr>
        <w:rPr>
          <w:rFonts w:cs="Arial"/>
          <w:b/>
          <w:highlight w:val="yellow"/>
          <w:lang w:val="fr-CA"/>
        </w:rPr>
      </w:pPr>
      <w:r w:rsidRPr="00CE70F3">
        <w:rPr>
          <w:b/>
          <w:highlight w:val="yellow"/>
          <w:lang w:val="fr-CA"/>
        </w:rPr>
        <w:t>Exemple 3 – importation de marchandises commerciales</w:t>
      </w:r>
      <w:r>
        <w:rPr>
          <w:b/>
          <w:lang w:val="fr-CA"/>
        </w:rPr>
        <w:t xml:space="preserve"> </w:t>
      </w:r>
      <w:hyperlink w:anchor="SH26" w:history="1">
        <w:r w:rsidRPr="00D14570">
          <w:rPr>
            <w:rFonts w:cs="Arial"/>
            <w:b/>
            <w:highlight w:val="yellow"/>
            <w:lang w:val="fr-CA"/>
          </w:rPr>
          <w:t>lorsque le droit sur le vapotage et le droit additionnel</w:t>
        </w:r>
        <w:r w:rsidR="002B6951" w:rsidRPr="00D14570">
          <w:rPr>
            <w:rFonts w:cs="Arial"/>
            <w:b/>
            <w:highlight w:val="yellow"/>
            <w:lang w:val="fr-CA"/>
          </w:rPr>
          <w:t xml:space="preserve"> sur le vapotage</w:t>
        </w:r>
        <w:r w:rsidRPr="00D14570">
          <w:rPr>
            <w:rFonts w:cs="Arial"/>
            <w:b/>
            <w:highlight w:val="yellow"/>
            <w:lang w:val="fr-CA"/>
          </w:rPr>
          <w:t xml:space="preserve"> sont exigible</w:t>
        </w:r>
      </w:hyperlink>
      <w:r w:rsidRPr="00D14570">
        <w:rPr>
          <w:rFonts w:cs="Arial"/>
          <w:b/>
          <w:highlight w:val="yellow"/>
          <w:lang w:val="fr-CA"/>
        </w:rPr>
        <w:t>s</w:t>
      </w:r>
    </w:p>
    <w:p w14:paraId="46F2E917" w14:textId="1DF91EE0" w:rsidR="004F6145" w:rsidRDefault="004F6145">
      <w:pPr>
        <w:spacing w:after="0" w:line="240" w:lineRule="auto"/>
        <w:rPr>
          <w:lang w:val="fr-CA"/>
        </w:rPr>
      </w:pPr>
    </w:p>
    <w:tbl>
      <w:tblPr>
        <w:tblW w:w="0" w:type="auto"/>
        <w:tblInd w:w="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87"/>
        <w:gridCol w:w="1166"/>
      </w:tblGrid>
      <w:tr w:rsidR="000374A4" w:rsidRPr="0056738C" w14:paraId="383FF609" w14:textId="77777777" w:rsidTr="00C53FA2">
        <w:trPr>
          <w:trHeight w:val="348"/>
        </w:trPr>
        <w:tc>
          <w:tcPr>
            <w:tcW w:w="5687" w:type="dxa"/>
            <w:shd w:val="clear" w:color="auto" w:fill="E7E6E6" w:themeFill="background2"/>
          </w:tcPr>
          <w:p w14:paraId="5FF6DFA6" w14:textId="23777911" w:rsidR="000374A4" w:rsidRPr="0056738C" w:rsidRDefault="000374A4" w:rsidP="00C53FA2">
            <w:pPr>
              <w:widowControl w:val="0"/>
              <w:autoSpaceDE w:val="0"/>
              <w:autoSpaceDN w:val="0"/>
              <w:spacing w:after="0" w:line="212"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b/>
                <w:sz w:val="22"/>
                <w:lang w:val="fr-FR" w:eastAsia="fr-FR" w:bidi="fr-FR"/>
              </w:rPr>
              <w:t>Un ensemble contenant 4 dosettes, chaque dosette contenant 1.5</w:t>
            </w:r>
            <w:r>
              <w:rPr>
                <w:rFonts w:ascii="Times New Roman" w:eastAsia="Times New Roman" w:hAnsi="Times New Roman" w:cs="Times New Roman"/>
                <w:b/>
                <w:sz w:val="22"/>
                <w:lang w:val="fr-FR" w:eastAsia="fr-FR" w:bidi="fr-FR"/>
              </w:rPr>
              <w:t xml:space="preserve"> </w:t>
            </w:r>
            <w:r w:rsidR="00982DBA" w:rsidRPr="0056738C">
              <w:rPr>
                <w:rFonts w:ascii="Times New Roman" w:eastAsia="Times New Roman" w:hAnsi="Times New Roman" w:cs="Times New Roman"/>
                <w:b/>
                <w:sz w:val="22"/>
                <w:lang w:val="fr-FR" w:eastAsia="fr-FR" w:bidi="fr-FR"/>
              </w:rPr>
              <w:t>ml</w:t>
            </w:r>
            <w:r w:rsidRPr="0056738C">
              <w:rPr>
                <w:rFonts w:ascii="Times New Roman" w:eastAsia="Times New Roman" w:hAnsi="Times New Roman" w:cs="Times New Roman"/>
                <w:b/>
                <w:sz w:val="22"/>
                <w:lang w:val="fr-FR" w:eastAsia="fr-FR" w:bidi="fr-FR"/>
              </w:rPr>
              <w:t xml:space="preserve"> </w:t>
            </w:r>
            <w:r w:rsidRPr="00CE70F3">
              <w:rPr>
                <w:rFonts w:ascii="Times New Roman" w:eastAsia="Times New Roman" w:hAnsi="Times New Roman" w:cs="Times New Roman"/>
                <w:b/>
                <w:sz w:val="22"/>
                <w:lang w:val="fr-FR" w:eastAsia="fr-FR" w:bidi="fr-FR"/>
              </w:rPr>
              <w:t>de produit de vapotage</w:t>
            </w:r>
            <w:r w:rsidR="00C41519" w:rsidRPr="000C5F67">
              <w:rPr>
                <w:rFonts w:ascii="Times New Roman" w:eastAsia="Times New Roman" w:hAnsi="Times New Roman" w:cs="Times New Roman"/>
                <w:b/>
                <w:sz w:val="22"/>
                <w:lang w:val="fr-FR" w:eastAsia="fr-FR" w:bidi="fr-FR"/>
              </w:rPr>
              <w:t xml:space="preserve"> liquide</w:t>
            </w:r>
          </w:p>
        </w:tc>
        <w:tc>
          <w:tcPr>
            <w:tcW w:w="1166" w:type="dxa"/>
            <w:shd w:val="clear" w:color="auto" w:fill="E7E6E6" w:themeFill="background2"/>
          </w:tcPr>
          <w:p w14:paraId="1CEEBD12" w14:textId="77777777" w:rsidR="000374A4" w:rsidRDefault="000374A4" w:rsidP="00C53FA2">
            <w:pPr>
              <w:widowControl w:val="0"/>
              <w:autoSpaceDE w:val="0"/>
              <w:autoSpaceDN w:val="0"/>
              <w:spacing w:after="0" w:line="235" w:lineRule="exact"/>
              <w:ind w:left="70"/>
              <w:rPr>
                <w:rFonts w:ascii="Times New Roman" w:eastAsia="Times New Roman" w:hAnsi="Times New Roman" w:cs="Times New Roman"/>
                <w:b/>
                <w:sz w:val="22"/>
                <w:lang w:val="fr-FR" w:eastAsia="fr-FR" w:bidi="fr-FR"/>
              </w:rPr>
            </w:pPr>
            <w:r w:rsidRPr="0056738C">
              <w:rPr>
                <w:rFonts w:ascii="Times New Roman" w:eastAsia="Times New Roman" w:hAnsi="Times New Roman" w:cs="Times New Roman"/>
                <w:b/>
                <w:sz w:val="22"/>
                <w:lang w:val="fr-FR" w:eastAsia="fr-FR" w:bidi="fr-FR"/>
              </w:rPr>
              <w:t>Montant</w:t>
            </w:r>
          </w:p>
          <w:p w14:paraId="0DD8263F" w14:textId="77777777" w:rsidR="000374A4" w:rsidRPr="0056738C" w:rsidRDefault="000374A4" w:rsidP="00C53FA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Pr>
                <w:rFonts w:ascii="Times New Roman" w:eastAsia="Times New Roman" w:hAnsi="Times New Roman" w:cs="Times New Roman"/>
                <w:b/>
                <w:sz w:val="22"/>
                <w:lang w:val="fr-FR" w:eastAsia="fr-FR" w:bidi="fr-FR"/>
              </w:rPr>
              <w:t>($)</w:t>
            </w:r>
          </w:p>
        </w:tc>
      </w:tr>
      <w:tr w:rsidR="000374A4" w:rsidRPr="0056738C" w14:paraId="2507F95B" w14:textId="77777777" w:rsidTr="00C53FA2">
        <w:trPr>
          <w:trHeight w:val="348"/>
        </w:trPr>
        <w:tc>
          <w:tcPr>
            <w:tcW w:w="5687" w:type="dxa"/>
          </w:tcPr>
          <w:p w14:paraId="08CE8520" w14:textId="77777777" w:rsidR="000374A4" w:rsidRPr="0056738C" w:rsidRDefault="000374A4" w:rsidP="00C53FA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Valeur en douane (VD)</w:t>
            </w:r>
          </w:p>
        </w:tc>
        <w:tc>
          <w:tcPr>
            <w:tcW w:w="1166" w:type="dxa"/>
          </w:tcPr>
          <w:p w14:paraId="75D5C588" w14:textId="77777777" w:rsidR="000374A4" w:rsidRPr="0056738C" w:rsidRDefault="000374A4" w:rsidP="00C53FA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40</w:t>
            </w:r>
          </w:p>
        </w:tc>
      </w:tr>
      <w:tr w:rsidR="000374A4" w:rsidRPr="0056738C" w14:paraId="228D74CA" w14:textId="77777777" w:rsidTr="00C53FA2">
        <w:trPr>
          <w:trHeight w:val="332"/>
        </w:trPr>
        <w:tc>
          <w:tcPr>
            <w:tcW w:w="5687" w:type="dxa"/>
          </w:tcPr>
          <w:p w14:paraId="3DF5D0C8" w14:textId="77777777" w:rsidR="000374A4" w:rsidRPr="0056738C" w:rsidRDefault="000374A4" w:rsidP="00C53FA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Droit de douane (ces marchandises sont en franchise de droits)</w:t>
            </w:r>
          </w:p>
        </w:tc>
        <w:tc>
          <w:tcPr>
            <w:tcW w:w="1166" w:type="dxa"/>
          </w:tcPr>
          <w:p w14:paraId="1A574F64" w14:textId="77777777" w:rsidR="000374A4" w:rsidRPr="0056738C" w:rsidRDefault="000374A4" w:rsidP="00C53FA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0</w:t>
            </w:r>
          </w:p>
        </w:tc>
      </w:tr>
      <w:tr w:rsidR="000374A4" w:rsidRPr="0056738C" w14:paraId="04B26F44" w14:textId="77777777" w:rsidTr="00C53FA2">
        <w:trPr>
          <w:trHeight w:val="1309"/>
        </w:trPr>
        <w:tc>
          <w:tcPr>
            <w:tcW w:w="5687" w:type="dxa"/>
          </w:tcPr>
          <w:p w14:paraId="27C62B79" w14:textId="77777777" w:rsidR="000374A4" w:rsidRPr="0056738C" w:rsidRDefault="000374A4" w:rsidP="00C53FA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 xml:space="preserve">Droit sur le vapotage </w:t>
            </w:r>
          </w:p>
          <w:p w14:paraId="787E7C5F" w14:textId="56BB176F" w:rsidR="000374A4" w:rsidRPr="0056738C" w:rsidRDefault="000374A4" w:rsidP="00C53FA2">
            <w:pPr>
              <w:widowControl w:val="0"/>
              <w:autoSpaceDE w:val="0"/>
              <w:autoSpaceDN w:val="0"/>
              <w:spacing w:before="110" w:after="0" w:line="228" w:lineRule="auto"/>
              <w:ind w:left="70" w:right="60"/>
              <w:rPr>
                <w:rFonts w:ascii="Times New Roman" w:eastAsia="Times New Roman" w:hAnsi="Times New Roman" w:cs="Times New Roman"/>
                <w:sz w:val="22"/>
                <w:lang w:val="fr-FR" w:eastAsia="fr-FR" w:bidi="fr-FR"/>
              </w:rPr>
            </w:pPr>
            <w:r w:rsidRPr="00312BCA">
              <w:rPr>
                <w:rFonts w:ascii="Times New Roman" w:eastAsia="Times New Roman" w:hAnsi="Times New Roman" w:cs="Times New Roman"/>
                <w:sz w:val="22"/>
                <w:highlight w:val="yellow"/>
                <w:lang w:val="fr-FR" w:eastAsia="fr-FR" w:bidi="fr-FR"/>
              </w:rPr>
              <w:t>1</w:t>
            </w:r>
            <w:r w:rsidR="00312BCA" w:rsidRPr="00312BCA">
              <w:rPr>
                <w:rFonts w:ascii="Times New Roman" w:eastAsia="Times New Roman" w:hAnsi="Times New Roman" w:cs="Times New Roman"/>
                <w:sz w:val="22"/>
                <w:highlight w:val="yellow"/>
                <w:lang w:val="fr-FR" w:eastAsia="fr-FR" w:bidi="fr-FR"/>
              </w:rPr>
              <w:t>,12</w:t>
            </w:r>
            <w:r w:rsidR="00312BCA">
              <w:rPr>
                <w:rFonts w:ascii="Times New Roman" w:eastAsia="Times New Roman" w:hAnsi="Times New Roman" w:cs="Times New Roman"/>
                <w:sz w:val="22"/>
                <w:lang w:val="fr-FR" w:eastAsia="fr-FR" w:bidi="fr-FR"/>
              </w:rPr>
              <w:t xml:space="preserve"> </w:t>
            </w:r>
            <w:r w:rsidRPr="0056738C">
              <w:rPr>
                <w:rFonts w:ascii="Times New Roman" w:eastAsia="Times New Roman" w:hAnsi="Times New Roman" w:cs="Times New Roman"/>
                <w:sz w:val="22"/>
                <w:lang w:val="fr-FR" w:eastAsia="fr-FR" w:bidi="fr-FR"/>
              </w:rPr>
              <w:t>$ par 2 millilitres (</w:t>
            </w:r>
            <w:r w:rsidR="00982DBA" w:rsidRPr="0056738C">
              <w:rPr>
                <w:rFonts w:ascii="Times New Roman" w:eastAsia="Times New Roman" w:hAnsi="Times New Roman" w:cs="Times New Roman"/>
                <w:sz w:val="22"/>
                <w:lang w:val="fr-FR" w:eastAsia="fr-FR" w:bidi="fr-FR"/>
              </w:rPr>
              <w:t>ml</w:t>
            </w:r>
            <w:r w:rsidRPr="0056738C">
              <w:rPr>
                <w:rFonts w:ascii="Times New Roman" w:eastAsia="Times New Roman" w:hAnsi="Times New Roman" w:cs="Times New Roman"/>
                <w:sz w:val="22"/>
                <w:lang w:val="fr-FR" w:eastAsia="fr-FR" w:bidi="fr-FR"/>
              </w:rPr>
              <w:t xml:space="preserve">), ou fraction de cette quantité, pour les premiers 10 </w:t>
            </w:r>
            <w:r w:rsidR="00982DBA" w:rsidRPr="0056738C">
              <w:rPr>
                <w:rFonts w:ascii="Times New Roman" w:eastAsia="Times New Roman" w:hAnsi="Times New Roman" w:cs="Times New Roman"/>
                <w:sz w:val="22"/>
                <w:lang w:val="fr-FR" w:eastAsia="fr-FR" w:bidi="fr-FR"/>
              </w:rPr>
              <w:t>ml</w:t>
            </w:r>
            <w:r w:rsidRPr="0056738C">
              <w:rPr>
                <w:rFonts w:ascii="Times New Roman" w:eastAsia="Times New Roman" w:hAnsi="Times New Roman" w:cs="Times New Roman"/>
                <w:sz w:val="22"/>
                <w:lang w:val="fr-FR" w:eastAsia="fr-FR" w:bidi="fr-FR"/>
              </w:rPr>
              <w:t xml:space="preserve"> de substance de vapotage</w:t>
            </w:r>
          </w:p>
          <w:p w14:paraId="27764A4A" w14:textId="5E1F25F5" w:rsidR="000374A4" w:rsidRPr="0056738C" w:rsidRDefault="000374A4" w:rsidP="00C53FA2">
            <w:pPr>
              <w:widowControl w:val="0"/>
              <w:autoSpaceDE w:val="0"/>
              <w:autoSpaceDN w:val="0"/>
              <w:spacing w:before="117" w:after="0" w:line="240" w:lineRule="auto"/>
              <w:ind w:left="70"/>
              <w:rPr>
                <w:rFonts w:ascii="Times New Roman" w:eastAsia="Times New Roman" w:hAnsi="Times New Roman" w:cs="Times New Roman"/>
                <w:b/>
                <w:sz w:val="22"/>
                <w:lang w:val="fr-FR" w:eastAsia="fr-FR" w:bidi="fr-FR"/>
              </w:rPr>
            </w:pPr>
            <w:r w:rsidRPr="0056738C">
              <w:rPr>
                <w:rFonts w:ascii="Times New Roman" w:eastAsia="Times New Roman" w:hAnsi="Times New Roman" w:cs="Times New Roman"/>
                <w:b/>
                <w:sz w:val="22"/>
                <w:lang w:val="fr-FR" w:eastAsia="fr-FR" w:bidi="fr-FR"/>
              </w:rPr>
              <w:t>(</w:t>
            </w:r>
            <w:r w:rsidRPr="00312BCA">
              <w:rPr>
                <w:rFonts w:ascii="Times New Roman" w:eastAsia="Times New Roman" w:hAnsi="Times New Roman" w:cs="Times New Roman"/>
                <w:b/>
                <w:sz w:val="22"/>
                <w:highlight w:val="yellow"/>
                <w:lang w:val="fr-FR" w:eastAsia="fr-FR" w:bidi="fr-FR"/>
              </w:rPr>
              <w:t>1</w:t>
            </w:r>
            <w:r w:rsidR="00312BCA" w:rsidRPr="00312BCA">
              <w:rPr>
                <w:rFonts w:ascii="Times New Roman" w:eastAsia="Times New Roman" w:hAnsi="Times New Roman" w:cs="Times New Roman"/>
                <w:b/>
                <w:sz w:val="22"/>
                <w:highlight w:val="yellow"/>
                <w:lang w:val="fr-FR" w:eastAsia="fr-FR" w:bidi="fr-FR"/>
              </w:rPr>
              <w:t>,12</w:t>
            </w:r>
            <w:r w:rsidR="00312BCA">
              <w:rPr>
                <w:rFonts w:ascii="Times New Roman" w:eastAsia="Times New Roman" w:hAnsi="Times New Roman" w:cs="Times New Roman"/>
                <w:b/>
                <w:sz w:val="22"/>
                <w:lang w:val="fr-FR" w:eastAsia="fr-FR" w:bidi="fr-FR"/>
              </w:rPr>
              <w:t xml:space="preserve"> </w:t>
            </w:r>
            <w:r w:rsidRPr="0056738C">
              <w:rPr>
                <w:rFonts w:ascii="Times New Roman" w:eastAsia="Times New Roman" w:hAnsi="Times New Roman" w:cs="Times New Roman"/>
                <w:b/>
                <w:sz w:val="22"/>
                <w:lang w:val="fr-FR" w:eastAsia="fr-FR" w:bidi="fr-FR"/>
              </w:rPr>
              <w:t>$ X 4 dosettes de 1.5</w:t>
            </w:r>
            <w:r w:rsidR="006624B8">
              <w:rPr>
                <w:rFonts w:ascii="Times New Roman" w:eastAsia="Times New Roman" w:hAnsi="Times New Roman" w:cs="Times New Roman"/>
                <w:b/>
                <w:sz w:val="22"/>
                <w:lang w:val="fr-FR" w:eastAsia="fr-FR" w:bidi="fr-FR"/>
              </w:rPr>
              <w:t xml:space="preserve"> </w:t>
            </w:r>
            <w:r w:rsidRPr="0056738C">
              <w:rPr>
                <w:rFonts w:ascii="Times New Roman" w:eastAsia="Times New Roman" w:hAnsi="Times New Roman" w:cs="Times New Roman"/>
                <w:b/>
                <w:sz w:val="22"/>
                <w:lang w:val="fr-FR" w:eastAsia="fr-FR" w:bidi="fr-FR"/>
              </w:rPr>
              <w:t>mL chacune)</w:t>
            </w:r>
          </w:p>
        </w:tc>
        <w:tc>
          <w:tcPr>
            <w:tcW w:w="1166" w:type="dxa"/>
          </w:tcPr>
          <w:p w14:paraId="000CC371" w14:textId="2909FAF3" w:rsidR="000374A4" w:rsidRPr="0056738C" w:rsidRDefault="000374A4" w:rsidP="00C53FA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312BCA">
              <w:rPr>
                <w:rFonts w:ascii="Times New Roman" w:eastAsia="Times New Roman" w:hAnsi="Times New Roman" w:cs="Times New Roman"/>
                <w:sz w:val="22"/>
                <w:highlight w:val="yellow"/>
                <w:lang w:val="fr-FR" w:eastAsia="fr-FR" w:bidi="fr-FR"/>
              </w:rPr>
              <w:t>4</w:t>
            </w:r>
            <w:r w:rsidR="00312BCA" w:rsidRPr="00312BCA">
              <w:rPr>
                <w:rFonts w:ascii="Times New Roman" w:eastAsia="Times New Roman" w:hAnsi="Times New Roman" w:cs="Times New Roman"/>
                <w:sz w:val="22"/>
                <w:highlight w:val="yellow"/>
                <w:lang w:val="fr-FR" w:eastAsia="fr-FR" w:bidi="fr-FR"/>
              </w:rPr>
              <w:t>,48</w:t>
            </w:r>
          </w:p>
        </w:tc>
      </w:tr>
      <w:tr w:rsidR="000374A4" w:rsidRPr="0056738C" w14:paraId="47604B49" w14:textId="77777777" w:rsidTr="00C53FA2">
        <w:trPr>
          <w:trHeight w:val="1309"/>
        </w:trPr>
        <w:tc>
          <w:tcPr>
            <w:tcW w:w="5687" w:type="dxa"/>
          </w:tcPr>
          <w:p w14:paraId="4C63336F" w14:textId="77777777" w:rsidR="000374A4" w:rsidRPr="0056738C" w:rsidRDefault="000374A4" w:rsidP="00C53FA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D14570">
              <w:rPr>
                <w:rFonts w:ascii="Times New Roman" w:eastAsia="Times New Roman" w:hAnsi="Times New Roman" w:cs="Times New Roman"/>
                <w:sz w:val="22"/>
                <w:lang w:val="fr-FR" w:eastAsia="fr-FR" w:bidi="fr-FR"/>
              </w:rPr>
              <w:t xml:space="preserve">Droit </w:t>
            </w:r>
            <w:r w:rsidRPr="00CE70F3">
              <w:rPr>
                <w:rFonts w:ascii="Times New Roman" w:eastAsia="Times New Roman" w:hAnsi="Times New Roman" w:cs="Times New Roman"/>
                <w:sz w:val="22"/>
                <w:lang w:val="fr-FR" w:eastAsia="fr-FR" w:bidi="fr-FR"/>
              </w:rPr>
              <w:t>additionnel</w:t>
            </w:r>
            <w:r w:rsidRPr="00D14570">
              <w:rPr>
                <w:rFonts w:ascii="Times New Roman" w:eastAsia="Times New Roman" w:hAnsi="Times New Roman" w:cs="Times New Roman"/>
                <w:sz w:val="22"/>
                <w:lang w:val="fr-FR" w:eastAsia="fr-FR" w:bidi="fr-FR"/>
              </w:rPr>
              <w:t xml:space="preserve"> sur le vapotage</w:t>
            </w:r>
            <w:r w:rsidRPr="0056738C">
              <w:rPr>
                <w:rFonts w:ascii="Times New Roman" w:eastAsia="Times New Roman" w:hAnsi="Times New Roman" w:cs="Times New Roman"/>
                <w:sz w:val="22"/>
                <w:lang w:val="fr-FR" w:eastAsia="fr-FR" w:bidi="fr-FR"/>
              </w:rPr>
              <w:t xml:space="preserve"> </w:t>
            </w:r>
          </w:p>
          <w:p w14:paraId="14B90582" w14:textId="79F1E9F1" w:rsidR="000374A4" w:rsidRPr="0056738C" w:rsidRDefault="000374A4" w:rsidP="00C53FA2">
            <w:pPr>
              <w:widowControl w:val="0"/>
              <w:autoSpaceDE w:val="0"/>
              <w:autoSpaceDN w:val="0"/>
              <w:spacing w:before="110" w:after="0" w:line="228" w:lineRule="auto"/>
              <w:ind w:left="70" w:right="60"/>
              <w:rPr>
                <w:rFonts w:ascii="Times New Roman" w:eastAsia="Times New Roman" w:hAnsi="Times New Roman" w:cs="Times New Roman"/>
                <w:sz w:val="22"/>
                <w:lang w:val="fr-FR" w:eastAsia="fr-FR" w:bidi="fr-FR"/>
              </w:rPr>
            </w:pPr>
            <w:r w:rsidRPr="00312BCA">
              <w:rPr>
                <w:rFonts w:ascii="Times New Roman" w:eastAsia="Times New Roman" w:hAnsi="Times New Roman" w:cs="Times New Roman"/>
                <w:sz w:val="22"/>
                <w:highlight w:val="yellow"/>
                <w:lang w:val="fr-FR" w:eastAsia="fr-FR" w:bidi="fr-FR"/>
              </w:rPr>
              <w:t>1</w:t>
            </w:r>
            <w:r w:rsidR="00312BCA" w:rsidRPr="00312BCA">
              <w:rPr>
                <w:rFonts w:ascii="Times New Roman" w:eastAsia="Times New Roman" w:hAnsi="Times New Roman" w:cs="Times New Roman"/>
                <w:sz w:val="22"/>
                <w:highlight w:val="yellow"/>
                <w:lang w:val="fr-FR" w:eastAsia="fr-FR" w:bidi="fr-FR"/>
              </w:rPr>
              <w:t>,12</w:t>
            </w:r>
            <w:r w:rsidR="00312BCA">
              <w:rPr>
                <w:rFonts w:ascii="Times New Roman" w:eastAsia="Times New Roman" w:hAnsi="Times New Roman" w:cs="Times New Roman"/>
                <w:sz w:val="22"/>
                <w:lang w:val="fr-FR" w:eastAsia="fr-FR" w:bidi="fr-FR"/>
              </w:rPr>
              <w:t xml:space="preserve"> </w:t>
            </w:r>
            <w:r w:rsidRPr="0056738C">
              <w:rPr>
                <w:rFonts w:ascii="Times New Roman" w:eastAsia="Times New Roman" w:hAnsi="Times New Roman" w:cs="Times New Roman"/>
                <w:sz w:val="22"/>
                <w:lang w:val="fr-FR" w:eastAsia="fr-FR" w:bidi="fr-FR"/>
              </w:rPr>
              <w:t>$ par 2 millilitres (</w:t>
            </w:r>
            <w:r w:rsidR="00982DBA" w:rsidRPr="0056738C">
              <w:rPr>
                <w:rFonts w:ascii="Times New Roman" w:eastAsia="Times New Roman" w:hAnsi="Times New Roman" w:cs="Times New Roman"/>
                <w:sz w:val="22"/>
                <w:lang w:val="fr-FR" w:eastAsia="fr-FR" w:bidi="fr-FR"/>
              </w:rPr>
              <w:t>ml</w:t>
            </w:r>
            <w:r w:rsidRPr="0056738C">
              <w:rPr>
                <w:rFonts w:ascii="Times New Roman" w:eastAsia="Times New Roman" w:hAnsi="Times New Roman" w:cs="Times New Roman"/>
                <w:sz w:val="22"/>
                <w:lang w:val="fr-FR" w:eastAsia="fr-FR" w:bidi="fr-FR"/>
              </w:rPr>
              <w:t xml:space="preserve">), ou fraction de cette quantité, pour les premiers 10 </w:t>
            </w:r>
            <w:r w:rsidR="00982DBA" w:rsidRPr="0056738C">
              <w:rPr>
                <w:rFonts w:ascii="Times New Roman" w:eastAsia="Times New Roman" w:hAnsi="Times New Roman" w:cs="Times New Roman"/>
                <w:sz w:val="22"/>
                <w:lang w:val="fr-FR" w:eastAsia="fr-FR" w:bidi="fr-FR"/>
              </w:rPr>
              <w:t>ml</w:t>
            </w:r>
            <w:r w:rsidRPr="0056738C">
              <w:rPr>
                <w:rFonts w:ascii="Times New Roman" w:eastAsia="Times New Roman" w:hAnsi="Times New Roman" w:cs="Times New Roman"/>
                <w:sz w:val="22"/>
                <w:lang w:val="fr-FR" w:eastAsia="fr-FR" w:bidi="fr-FR"/>
              </w:rPr>
              <w:t xml:space="preserve"> de substance de vapotage</w:t>
            </w:r>
          </w:p>
          <w:p w14:paraId="191507DF" w14:textId="6C00109A" w:rsidR="000374A4" w:rsidRPr="0056738C" w:rsidRDefault="000374A4" w:rsidP="00C53FA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b/>
                <w:sz w:val="22"/>
                <w:lang w:val="fr-FR" w:eastAsia="fr-FR" w:bidi="fr-FR"/>
              </w:rPr>
              <w:t>(</w:t>
            </w:r>
            <w:r w:rsidRPr="00312BCA">
              <w:rPr>
                <w:rFonts w:ascii="Times New Roman" w:eastAsia="Times New Roman" w:hAnsi="Times New Roman" w:cs="Times New Roman"/>
                <w:b/>
                <w:sz w:val="22"/>
                <w:highlight w:val="yellow"/>
                <w:lang w:val="fr-FR" w:eastAsia="fr-FR" w:bidi="fr-FR"/>
              </w:rPr>
              <w:t>1</w:t>
            </w:r>
            <w:r w:rsidR="00312BCA" w:rsidRPr="00312BCA">
              <w:rPr>
                <w:rFonts w:ascii="Times New Roman" w:eastAsia="Times New Roman" w:hAnsi="Times New Roman" w:cs="Times New Roman"/>
                <w:b/>
                <w:sz w:val="22"/>
                <w:highlight w:val="yellow"/>
                <w:lang w:val="fr-FR" w:eastAsia="fr-FR" w:bidi="fr-FR"/>
              </w:rPr>
              <w:t>,12</w:t>
            </w:r>
            <w:r w:rsidR="00312BCA">
              <w:rPr>
                <w:rFonts w:ascii="Times New Roman" w:eastAsia="Times New Roman" w:hAnsi="Times New Roman" w:cs="Times New Roman"/>
                <w:b/>
                <w:sz w:val="22"/>
                <w:lang w:val="fr-FR" w:eastAsia="fr-FR" w:bidi="fr-FR"/>
              </w:rPr>
              <w:t xml:space="preserve"> </w:t>
            </w:r>
            <w:r w:rsidRPr="0056738C">
              <w:rPr>
                <w:rFonts w:ascii="Times New Roman" w:eastAsia="Times New Roman" w:hAnsi="Times New Roman" w:cs="Times New Roman"/>
                <w:b/>
                <w:sz w:val="22"/>
                <w:lang w:val="fr-FR" w:eastAsia="fr-FR" w:bidi="fr-FR"/>
              </w:rPr>
              <w:t>$ X 4 dosettes de 1.5</w:t>
            </w:r>
            <w:r w:rsidR="006624B8">
              <w:rPr>
                <w:rFonts w:ascii="Times New Roman" w:eastAsia="Times New Roman" w:hAnsi="Times New Roman" w:cs="Times New Roman"/>
                <w:b/>
                <w:sz w:val="22"/>
                <w:lang w:val="fr-FR" w:eastAsia="fr-FR" w:bidi="fr-FR"/>
              </w:rPr>
              <w:t xml:space="preserve"> </w:t>
            </w:r>
            <w:r w:rsidRPr="0056738C">
              <w:rPr>
                <w:rFonts w:ascii="Times New Roman" w:eastAsia="Times New Roman" w:hAnsi="Times New Roman" w:cs="Times New Roman"/>
                <w:b/>
                <w:sz w:val="22"/>
                <w:lang w:val="fr-FR" w:eastAsia="fr-FR" w:bidi="fr-FR"/>
              </w:rPr>
              <w:t>mL chacune)</w:t>
            </w:r>
          </w:p>
        </w:tc>
        <w:tc>
          <w:tcPr>
            <w:tcW w:w="1166" w:type="dxa"/>
          </w:tcPr>
          <w:p w14:paraId="56DBBFF7" w14:textId="33D40033" w:rsidR="000374A4" w:rsidRPr="0056738C" w:rsidRDefault="000374A4" w:rsidP="00C53FA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312BCA">
              <w:rPr>
                <w:rFonts w:ascii="Times New Roman" w:eastAsia="Times New Roman" w:hAnsi="Times New Roman" w:cs="Times New Roman"/>
                <w:sz w:val="22"/>
                <w:highlight w:val="yellow"/>
                <w:lang w:val="fr-FR" w:eastAsia="fr-FR" w:bidi="fr-FR"/>
              </w:rPr>
              <w:t>4</w:t>
            </w:r>
            <w:r w:rsidR="00312BCA" w:rsidRPr="00312BCA">
              <w:rPr>
                <w:rFonts w:ascii="Times New Roman" w:eastAsia="Times New Roman" w:hAnsi="Times New Roman" w:cs="Times New Roman"/>
                <w:sz w:val="22"/>
                <w:highlight w:val="yellow"/>
                <w:lang w:val="fr-FR" w:eastAsia="fr-FR" w:bidi="fr-FR"/>
              </w:rPr>
              <w:t>,48</w:t>
            </w:r>
          </w:p>
        </w:tc>
      </w:tr>
    </w:tbl>
    <w:p w14:paraId="79222CB9" w14:textId="05BC14A0" w:rsidR="000374A4" w:rsidRDefault="000374A4">
      <w:pPr>
        <w:spacing w:after="0" w:line="240" w:lineRule="auto"/>
        <w:rPr>
          <w:lang w:val="fr-CA"/>
        </w:rPr>
      </w:pPr>
    </w:p>
    <w:p w14:paraId="1B6FDF2C" w14:textId="77777777" w:rsidR="00BC6252" w:rsidRDefault="00BC6252">
      <w:pPr>
        <w:spacing w:after="0" w:line="240" w:lineRule="auto"/>
        <w:rPr>
          <w:lang w:val="fr-CA"/>
        </w:rPr>
      </w:pPr>
    </w:p>
    <w:tbl>
      <w:tblPr>
        <w:tblW w:w="0" w:type="auto"/>
        <w:tblInd w:w="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87"/>
        <w:gridCol w:w="1166"/>
      </w:tblGrid>
      <w:tr w:rsidR="000374A4" w:rsidRPr="0056738C" w14:paraId="06A5A2F2" w14:textId="77777777" w:rsidTr="00C53FA2">
        <w:trPr>
          <w:trHeight w:val="348"/>
        </w:trPr>
        <w:tc>
          <w:tcPr>
            <w:tcW w:w="5687" w:type="dxa"/>
            <w:shd w:val="clear" w:color="auto" w:fill="E7E6E6" w:themeFill="background2"/>
          </w:tcPr>
          <w:p w14:paraId="6413DA52" w14:textId="77777777" w:rsidR="000374A4" w:rsidRPr="0056738C" w:rsidRDefault="000374A4" w:rsidP="00C53FA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b/>
                <w:sz w:val="22"/>
                <w:lang w:val="fr-FR" w:eastAsia="fr-FR" w:bidi="fr-FR"/>
              </w:rPr>
              <w:t>Montants payables - sommaire</w:t>
            </w:r>
          </w:p>
        </w:tc>
        <w:tc>
          <w:tcPr>
            <w:tcW w:w="1166" w:type="dxa"/>
            <w:shd w:val="clear" w:color="auto" w:fill="E7E6E6" w:themeFill="background2"/>
          </w:tcPr>
          <w:p w14:paraId="68AB59F9" w14:textId="77777777" w:rsidR="000374A4" w:rsidRDefault="000374A4" w:rsidP="00C53FA2">
            <w:pPr>
              <w:widowControl w:val="0"/>
              <w:autoSpaceDE w:val="0"/>
              <w:autoSpaceDN w:val="0"/>
              <w:spacing w:after="0" w:line="235" w:lineRule="exact"/>
              <w:ind w:left="70"/>
              <w:rPr>
                <w:rFonts w:ascii="Times New Roman" w:eastAsia="Times New Roman" w:hAnsi="Times New Roman" w:cs="Times New Roman"/>
                <w:b/>
                <w:sz w:val="22"/>
                <w:lang w:val="fr-FR" w:eastAsia="fr-FR" w:bidi="fr-FR"/>
              </w:rPr>
            </w:pPr>
            <w:r w:rsidRPr="0056738C">
              <w:rPr>
                <w:rFonts w:ascii="Times New Roman" w:eastAsia="Times New Roman" w:hAnsi="Times New Roman" w:cs="Times New Roman"/>
                <w:b/>
                <w:sz w:val="22"/>
                <w:lang w:val="fr-FR" w:eastAsia="fr-FR" w:bidi="fr-FR"/>
              </w:rPr>
              <w:t>Montant</w:t>
            </w:r>
          </w:p>
          <w:p w14:paraId="10A78BAA" w14:textId="77777777" w:rsidR="000374A4" w:rsidRPr="0056738C" w:rsidRDefault="000374A4" w:rsidP="00C53FA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Pr>
                <w:rFonts w:ascii="Times New Roman" w:eastAsia="Times New Roman" w:hAnsi="Times New Roman" w:cs="Times New Roman"/>
                <w:b/>
                <w:sz w:val="22"/>
                <w:lang w:val="fr-FR" w:eastAsia="fr-FR" w:bidi="fr-FR"/>
              </w:rPr>
              <w:t>($)</w:t>
            </w:r>
          </w:p>
        </w:tc>
      </w:tr>
      <w:tr w:rsidR="000374A4" w:rsidRPr="0056738C" w14:paraId="12759FA2" w14:textId="77777777" w:rsidTr="00C53FA2">
        <w:trPr>
          <w:trHeight w:val="348"/>
        </w:trPr>
        <w:tc>
          <w:tcPr>
            <w:tcW w:w="5687" w:type="dxa"/>
          </w:tcPr>
          <w:p w14:paraId="1B68DB82" w14:textId="77777777" w:rsidR="000374A4" w:rsidRPr="0056738C" w:rsidRDefault="000374A4" w:rsidP="00C53FA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Droit de douane</w:t>
            </w:r>
          </w:p>
        </w:tc>
        <w:tc>
          <w:tcPr>
            <w:tcW w:w="1166" w:type="dxa"/>
          </w:tcPr>
          <w:p w14:paraId="20B9C98B" w14:textId="77777777" w:rsidR="000374A4" w:rsidRPr="0056738C" w:rsidRDefault="000374A4" w:rsidP="00C53FA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0</w:t>
            </w:r>
          </w:p>
        </w:tc>
      </w:tr>
      <w:tr w:rsidR="000374A4" w:rsidRPr="0056738C" w14:paraId="1B1086F4" w14:textId="77777777" w:rsidTr="00C53FA2">
        <w:trPr>
          <w:trHeight w:val="348"/>
        </w:trPr>
        <w:tc>
          <w:tcPr>
            <w:tcW w:w="5687" w:type="dxa"/>
          </w:tcPr>
          <w:p w14:paraId="4579BDED" w14:textId="77777777" w:rsidR="000374A4" w:rsidRPr="00712DC9" w:rsidRDefault="000374A4" w:rsidP="00C53FA2">
            <w:pPr>
              <w:widowControl w:val="0"/>
              <w:autoSpaceDE w:val="0"/>
              <w:autoSpaceDN w:val="0"/>
              <w:spacing w:after="0" w:line="234" w:lineRule="exact"/>
              <w:ind w:left="70"/>
              <w:rPr>
                <w:rFonts w:ascii="Times New Roman" w:eastAsia="Times New Roman" w:hAnsi="Times New Roman" w:cs="Times New Roman"/>
                <w:sz w:val="22"/>
                <w:vertAlign w:val="superscript"/>
                <w:lang w:val="fr-FR" w:eastAsia="fr-FR" w:bidi="fr-FR"/>
              </w:rPr>
            </w:pPr>
            <w:r w:rsidRPr="0056738C">
              <w:rPr>
                <w:rFonts w:ascii="Times New Roman" w:eastAsia="Times New Roman" w:hAnsi="Times New Roman" w:cs="Times New Roman"/>
                <w:sz w:val="22"/>
                <w:lang w:val="fr-FR" w:eastAsia="fr-FR" w:bidi="fr-FR"/>
              </w:rPr>
              <w:t>Droit sur le vapotage</w:t>
            </w:r>
            <w:r>
              <w:rPr>
                <w:rFonts w:ascii="Times New Roman" w:eastAsia="Times New Roman" w:hAnsi="Times New Roman" w:cs="Times New Roman"/>
                <w:sz w:val="22"/>
                <w:vertAlign w:val="superscript"/>
                <w:lang w:val="fr-FR" w:eastAsia="fr-FR" w:bidi="fr-FR"/>
              </w:rPr>
              <w:t>1</w:t>
            </w:r>
          </w:p>
        </w:tc>
        <w:tc>
          <w:tcPr>
            <w:tcW w:w="1166" w:type="dxa"/>
          </w:tcPr>
          <w:p w14:paraId="6A781027" w14:textId="2C34A899" w:rsidR="000374A4" w:rsidRPr="00C61CAE" w:rsidRDefault="000374A4" w:rsidP="00C53FA2">
            <w:pPr>
              <w:widowControl w:val="0"/>
              <w:autoSpaceDE w:val="0"/>
              <w:autoSpaceDN w:val="0"/>
              <w:spacing w:after="0" w:line="234" w:lineRule="exact"/>
              <w:ind w:left="70"/>
              <w:rPr>
                <w:rFonts w:ascii="Times New Roman" w:eastAsia="Times New Roman" w:hAnsi="Times New Roman" w:cs="Times New Roman"/>
                <w:sz w:val="22"/>
                <w:highlight w:val="yellow"/>
                <w:lang w:val="fr-FR" w:eastAsia="fr-FR" w:bidi="fr-FR"/>
              </w:rPr>
            </w:pPr>
            <w:r w:rsidRPr="00C61CAE">
              <w:rPr>
                <w:rFonts w:ascii="Times New Roman" w:eastAsia="Times New Roman" w:hAnsi="Times New Roman" w:cs="Times New Roman"/>
                <w:sz w:val="22"/>
                <w:highlight w:val="yellow"/>
                <w:lang w:val="fr-FR" w:eastAsia="fr-FR" w:bidi="fr-FR"/>
              </w:rPr>
              <w:t>4</w:t>
            </w:r>
            <w:r w:rsidR="00C61CAE" w:rsidRPr="00C61CAE">
              <w:rPr>
                <w:rFonts w:ascii="Times New Roman" w:eastAsia="Times New Roman" w:hAnsi="Times New Roman" w:cs="Times New Roman"/>
                <w:sz w:val="22"/>
                <w:highlight w:val="yellow"/>
                <w:lang w:val="fr-FR" w:eastAsia="fr-FR" w:bidi="fr-FR"/>
              </w:rPr>
              <w:t>,48</w:t>
            </w:r>
          </w:p>
        </w:tc>
      </w:tr>
      <w:tr w:rsidR="000374A4" w:rsidRPr="0056738C" w14:paraId="5C640305" w14:textId="77777777" w:rsidTr="00C53FA2">
        <w:trPr>
          <w:trHeight w:val="348"/>
        </w:trPr>
        <w:tc>
          <w:tcPr>
            <w:tcW w:w="5687" w:type="dxa"/>
          </w:tcPr>
          <w:p w14:paraId="64160FDC" w14:textId="77777777" w:rsidR="000374A4" w:rsidRPr="0056738C" w:rsidRDefault="000374A4" w:rsidP="00C53FA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D14570">
              <w:rPr>
                <w:rFonts w:ascii="Times New Roman" w:eastAsia="Times New Roman" w:hAnsi="Times New Roman" w:cs="Times New Roman"/>
                <w:sz w:val="22"/>
                <w:lang w:val="fr-FR" w:eastAsia="fr-FR" w:bidi="fr-FR"/>
              </w:rPr>
              <w:t xml:space="preserve">Droit </w:t>
            </w:r>
            <w:r w:rsidRPr="00CE70F3">
              <w:rPr>
                <w:rFonts w:ascii="Times New Roman" w:eastAsia="Times New Roman" w:hAnsi="Times New Roman" w:cs="Times New Roman"/>
                <w:sz w:val="22"/>
                <w:lang w:val="fr-FR" w:eastAsia="fr-FR" w:bidi="fr-FR"/>
              </w:rPr>
              <w:t>additionnel</w:t>
            </w:r>
            <w:r w:rsidRPr="00D14570">
              <w:rPr>
                <w:rFonts w:ascii="Times New Roman" w:eastAsia="Times New Roman" w:hAnsi="Times New Roman" w:cs="Times New Roman"/>
                <w:sz w:val="22"/>
                <w:lang w:val="fr-FR" w:eastAsia="fr-FR" w:bidi="fr-FR"/>
              </w:rPr>
              <w:t xml:space="preserve"> sur le vapotage</w:t>
            </w:r>
            <w:r w:rsidRPr="0056738C">
              <w:rPr>
                <w:rFonts w:ascii="Times New Roman" w:eastAsia="Times New Roman" w:hAnsi="Times New Roman" w:cs="Times New Roman"/>
                <w:sz w:val="22"/>
                <w:lang w:val="fr-FR" w:eastAsia="fr-FR" w:bidi="fr-FR"/>
              </w:rPr>
              <w:t xml:space="preserve"> </w:t>
            </w:r>
          </w:p>
        </w:tc>
        <w:tc>
          <w:tcPr>
            <w:tcW w:w="1166" w:type="dxa"/>
          </w:tcPr>
          <w:p w14:paraId="3D6B673A" w14:textId="65C3EBCF" w:rsidR="000374A4" w:rsidRPr="00C61CAE" w:rsidRDefault="000374A4" w:rsidP="00C53FA2">
            <w:pPr>
              <w:widowControl w:val="0"/>
              <w:autoSpaceDE w:val="0"/>
              <w:autoSpaceDN w:val="0"/>
              <w:spacing w:after="0" w:line="234" w:lineRule="exact"/>
              <w:ind w:left="70"/>
              <w:rPr>
                <w:rFonts w:ascii="Times New Roman" w:eastAsia="Times New Roman" w:hAnsi="Times New Roman" w:cs="Times New Roman"/>
                <w:sz w:val="22"/>
                <w:highlight w:val="yellow"/>
                <w:lang w:val="fr-FR" w:eastAsia="fr-FR" w:bidi="fr-FR"/>
              </w:rPr>
            </w:pPr>
            <w:r w:rsidRPr="00C61CAE">
              <w:rPr>
                <w:rFonts w:ascii="Times New Roman" w:eastAsia="Times New Roman" w:hAnsi="Times New Roman" w:cs="Times New Roman"/>
                <w:sz w:val="22"/>
                <w:highlight w:val="yellow"/>
                <w:lang w:val="fr-FR" w:eastAsia="fr-FR" w:bidi="fr-FR"/>
              </w:rPr>
              <w:t>4</w:t>
            </w:r>
            <w:r w:rsidR="00C61CAE" w:rsidRPr="00C61CAE">
              <w:rPr>
                <w:rFonts w:ascii="Times New Roman" w:eastAsia="Times New Roman" w:hAnsi="Times New Roman" w:cs="Times New Roman"/>
                <w:sz w:val="22"/>
                <w:highlight w:val="yellow"/>
                <w:lang w:val="fr-FR" w:eastAsia="fr-FR" w:bidi="fr-FR"/>
              </w:rPr>
              <w:t>,48</w:t>
            </w:r>
          </w:p>
        </w:tc>
      </w:tr>
      <w:tr w:rsidR="000374A4" w:rsidRPr="00D95361" w14:paraId="1874E4A3" w14:textId="77777777" w:rsidTr="00C53FA2">
        <w:trPr>
          <w:trHeight w:val="331"/>
        </w:trPr>
        <w:tc>
          <w:tcPr>
            <w:tcW w:w="5687" w:type="dxa"/>
          </w:tcPr>
          <w:p w14:paraId="03D4C6B0" w14:textId="77777777" w:rsidR="000374A4" w:rsidRPr="0056738C" w:rsidRDefault="000374A4" w:rsidP="00C53FA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Sous-total (valeur pour taxe)</w:t>
            </w:r>
          </w:p>
        </w:tc>
        <w:tc>
          <w:tcPr>
            <w:tcW w:w="1166" w:type="dxa"/>
          </w:tcPr>
          <w:p w14:paraId="14D708AF" w14:textId="40DD02E9" w:rsidR="000374A4" w:rsidRPr="00D95361" w:rsidRDefault="000374A4" w:rsidP="00C53FA2">
            <w:pPr>
              <w:widowControl w:val="0"/>
              <w:autoSpaceDE w:val="0"/>
              <w:autoSpaceDN w:val="0"/>
              <w:spacing w:after="0" w:line="235" w:lineRule="exact"/>
              <w:ind w:left="70"/>
              <w:rPr>
                <w:rFonts w:ascii="Times New Roman" w:eastAsia="Times New Roman" w:hAnsi="Times New Roman" w:cs="Times New Roman"/>
                <w:sz w:val="22"/>
                <w:highlight w:val="yellow"/>
                <w:lang w:val="fr-FR" w:eastAsia="fr-FR" w:bidi="fr-FR"/>
              </w:rPr>
            </w:pPr>
            <w:r w:rsidRPr="00D95361">
              <w:rPr>
                <w:rFonts w:ascii="Times New Roman" w:eastAsia="Times New Roman" w:hAnsi="Times New Roman" w:cs="Times New Roman"/>
                <w:sz w:val="22"/>
                <w:highlight w:val="yellow"/>
                <w:lang w:val="fr-FR" w:eastAsia="fr-FR" w:bidi="fr-FR"/>
              </w:rPr>
              <w:t>48</w:t>
            </w:r>
            <w:r w:rsidR="00C61CAE">
              <w:rPr>
                <w:rFonts w:ascii="Times New Roman" w:eastAsia="Times New Roman" w:hAnsi="Times New Roman" w:cs="Times New Roman"/>
                <w:sz w:val="22"/>
                <w:highlight w:val="yellow"/>
                <w:lang w:val="fr-FR" w:eastAsia="fr-FR" w:bidi="fr-FR"/>
              </w:rPr>
              <w:t>,96</w:t>
            </w:r>
          </w:p>
        </w:tc>
      </w:tr>
      <w:tr w:rsidR="000374A4" w:rsidRPr="00D95361" w14:paraId="7A9FB707" w14:textId="77777777" w:rsidTr="00C53FA2">
        <w:trPr>
          <w:trHeight w:val="348"/>
        </w:trPr>
        <w:tc>
          <w:tcPr>
            <w:tcW w:w="5687" w:type="dxa"/>
          </w:tcPr>
          <w:p w14:paraId="57740A7E" w14:textId="77777777" w:rsidR="000374A4" w:rsidRPr="0056738C" w:rsidRDefault="000374A4" w:rsidP="00C53FA2">
            <w:pPr>
              <w:widowControl w:val="0"/>
              <w:autoSpaceDE w:val="0"/>
              <w:autoSpaceDN w:val="0"/>
              <w:spacing w:after="0" w:line="235" w:lineRule="exact"/>
              <w:ind w:left="70"/>
              <w:rPr>
                <w:rFonts w:ascii="Times New Roman" w:eastAsia="Times New Roman" w:hAnsi="Times New Roman" w:cs="Times New Roman"/>
                <w:sz w:val="22"/>
                <w:lang w:val="fr-FR" w:eastAsia="fr-FR" w:bidi="fr-FR"/>
              </w:rPr>
            </w:pPr>
            <w:r w:rsidRPr="0056738C">
              <w:rPr>
                <w:rFonts w:ascii="Times New Roman" w:eastAsia="Times New Roman" w:hAnsi="Times New Roman" w:cs="Times New Roman"/>
                <w:sz w:val="22"/>
                <w:lang w:val="fr-FR" w:eastAsia="fr-FR" w:bidi="fr-FR"/>
              </w:rPr>
              <w:t>TPS</w:t>
            </w:r>
          </w:p>
        </w:tc>
        <w:tc>
          <w:tcPr>
            <w:tcW w:w="1166" w:type="dxa"/>
          </w:tcPr>
          <w:p w14:paraId="19C37657" w14:textId="61E0CA2F" w:rsidR="000374A4" w:rsidRPr="00D95361" w:rsidRDefault="00C61CAE" w:rsidP="00C53FA2">
            <w:pPr>
              <w:widowControl w:val="0"/>
              <w:autoSpaceDE w:val="0"/>
              <w:autoSpaceDN w:val="0"/>
              <w:spacing w:after="0" w:line="235" w:lineRule="exact"/>
              <w:ind w:left="70"/>
              <w:rPr>
                <w:rFonts w:ascii="Times New Roman" w:eastAsia="Times New Roman" w:hAnsi="Times New Roman" w:cs="Times New Roman"/>
                <w:sz w:val="22"/>
                <w:highlight w:val="yellow"/>
                <w:lang w:val="fr-FR" w:eastAsia="fr-FR" w:bidi="fr-FR"/>
              </w:rPr>
            </w:pPr>
            <w:r>
              <w:rPr>
                <w:rFonts w:ascii="Times New Roman" w:eastAsia="Times New Roman" w:hAnsi="Times New Roman" w:cs="Times New Roman"/>
                <w:sz w:val="22"/>
                <w:highlight w:val="yellow"/>
                <w:lang w:val="fr-FR" w:eastAsia="fr-FR" w:bidi="fr-FR"/>
              </w:rPr>
              <w:t>2,49</w:t>
            </w:r>
          </w:p>
        </w:tc>
      </w:tr>
      <w:tr w:rsidR="000374A4" w:rsidRPr="00D95361" w14:paraId="08F66684" w14:textId="77777777" w:rsidTr="00C53FA2">
        <w:trPr>
          <w:trHeight w:val="332"/>
        </w:trPr>
        <w:tc>
          <w:tcPr>
            <w:tcW w:w="5687" w:type="dxa"/>
          </w:tcPr>
          <w:p w14:paraId="5C3D7610" w14:textId="77777777" w:rsidR="000374A4" w:rsidRPr="0056738C" w:rsidRDefault="000374A4" w:rsidP="00C53FA2">
            <w:pPr>
              <w:widowControl w:val="0"/>
              <w:autoSpaceDE w:val="0"/>
              <w:autoSpaceDN w:val="0"/>
              <w:spacing w:after="0" w:line="235" w:lineRule="exact"/>
              <w:ind w:left="70"/>
              <w:rPr>
                <w:rFonts w:ascii="Times New Roman" w:eastAsia="Times New Roman" w:hAnsi="Times New Roman" w:cs="Times New Roman"/>
                <w:b/>
                <w:sz w:val="22"/>
                <w:lang w:val="fr-FR" w:eastAsia="fr-FR" w:bidi="fr-FR"/>
              </w:rPr>
            </w:pPr>
            <w:r w:rsidRPr="0056738C">
              <w:rPr>
                <w:rFonts w:ascii="Times New Roman" w:eastAsia="Times New Roman" w:hAnsi="Times New Roman" w:cs="Times New Roman"/>
                <w:b/>
                <w:sz w:val="22"/>
                <w:lang w:val="fr-FR" w:eastAsia="fr-FR" w:bidi="fr-FR"/>
              </w:rPr>
              <w:t>Montant total de droits et taxes</w:t>
            </w:r>
          </w:p>
        </w:tc>
        <w:tc>
          <w:tcPr>
            <w:tcW w:w="1166" w:type="dxa"/>
          </w:tcPr>
          <w:p w14:paraId="3CE71AA8" w14:textId="2399986F" w:rsidR="000374A4" w:rsidRPr="00D95361" w:rsidRDefault="00C61CAE" w:rsidP="00C53FA2">
            <w:pPr>
              <w:widowControl w:val="0"/>
              <w:autoSpaceDE w:val="0"/>
              <w:autoSpaceDN w:val="0"/>
              <w:spacing w:after="0" w:line="235" w:lineRule="exact"/>
              <w:ind w:left="70"/>
              <w:rPr>
                <w:rFonts w:ascii="Times New Roman" w:eastAsia="Times New Roman" w:hAnsi="Times New Roman" w:cs="Times New Roman"/>
                <w:b/>
                <w:sz w:val="22"/>
                <w:highlight w:val="yellow"/>
                <w:lang w:val="fr-FR" w:eastAsia="fr-FR" w:bidi="fr-FR"/>
              </w:rPr>
            </w:pPr>
            <w:r w:rsidRPr="002E0D48">
              <w:rPr>
                <w:rFonts w:ascii="Times New Roman" w:eastAsia="Times New Roman" w:hAnsi="Times New Roman" w:cs="Times New Roman"/>
                <w:b/>
                <w:sz w:val="22"/>
                <w:highlight w:val="yellow"/>
                <w:lang w:val="fr-FR" w:eastAsia="fr-FR" w:bidi="fr-FR"/>
              </w:rPr>
              <w:t>11,45</w:t>
            </w:r>
          </w:p>
        </w:tc>
      </w:tr>
    </w:tbl>
    <w:p w14:paraId="2C94D09D" w14:textId="77777777" w:rsidR="000374A4" w:rsidRDefault="000374A4">
      <w:pPr>
        <w:spacing w:after="0" w:line="240" w:lineRule="auto"/>
        <w:rPr>
          <w:lang w:val="fr-CA"/>
        </w:rPr>
      </w:pPr>
    </w:p>
    <w:p w14:paraId="19F4D05F" w14:textId="396C56D2" w:rsidR="00CE60DE" w:rsidRPr="00CC5BA6" w:rsidRDefault="00CE60DE" w:rsidP="00CE60DE">
      <w:pPr>
        <w:rPr>
          <w:lang w:val="fr-CA"/>
        </w:rPr>
      </w:pPr>
      <w:r w:rsidRPr="00CC5BA6">
        <w:rPr>
          <w:lang w:val="fr-CA"/>
        </w:rPr>
        <w:t>Note</w:t>
      </w:r>
      <w:r>
        <w:rPr>
          <w:lang w:val="fr-CA"/>
        </w:rPr>
        <w:t xml:space="preserve"> du </w:t>
      </w:r>
      <w:r w:rsidRPr="00D14570">
        <w:rPr>
          <w:lang w:val="fr-CA"/>
        </w:rPr>
        <w:t xml:space="preserve">tableau: Le droit sur le vapotage </w:t>
      </w:r>
      <w:r w:rsidR="00436000" w:rsidRPr="00D14570">
        <w:rPr>
          <w:lang w:val="fr-CA"/>
        </w:rPr>
        <w:t>et le droit additionnel sur le vapotage sont</w:t>
      </w:r>
      <w:r w:rsidRPr="00D14570">
        <w:rPr>
          <w:lang w:val="fr-CA"/>
        </w:rPr>
        <w:t xml:space="preserve"> calculé</w:t>
      </w:r>
      <w:r w:rsidR="00436000" w:rsidRPr="00D14570">
        <w:rPr>
          <w:lang w:val="fr-CA"/>
        </w:rPr>
        <w:t>s</w:t>
      </w:r>
      <w:r w:rsidRPr="00D14570">
        <w:rPr>
          <w:lang w:val="fr-CA"/>
        </w:rPr>
        <w:t xml:space="preserve"> sur</w:t>
      </w:r>
      <w:r w:rsidRPr="00CC5BA6">
        <w:rPr>
          <w:lang w:val="fr-CA"/>
        </w:rPr>
        <w:t xml:space="preserve"> la quantité de matière de vapotage contenue dans chaque dispositif ou contenant individuel et non sur la quantité totale contenue dans un ensemble.</w:t>
      </w:r>
    </w:p>
    <w:p w14:paraId="69410FC3" w14:textId="77777777" w:rsidR="0053380D" w:rsidRDefault="0053380D">
      <w:pPr>
        <w:spacing w:after="0" w:line="240" w:lineRule="auto"/>
        <w:rPr>
          <w:b/>
          <w:bCs/>
          <w:color w:val="000000"/>
          <w:sz w:val="36"/>
          <w:szCs w:val="36"/>
          <w:lang w:val="fr-CA" w:eastAsia="en-CA"/>
        </w:rPr>
      </w:pPr>
      <w:bookmarkStart w:id="77" w:name="_Annexe_C"/>
      <w:bookmarkEnd w:id="77"/>
      <w:r w:rsidRPr="00CE70F3">
        <w:rPr>
          <w:lang w:val="fr-CA"/>
        </w:rPr>
        <w:br w:type="page"/>
      </w:r>
    </w:p>
    <w:p w14:paraId="3C5F2456" w14:textId="5A9B12B7" w:rsidR="004F6145" w:rsidRDefault="009F07ED" w:rsidP="000A6694">
      <w:pPr>
        <w:pStyle w:val="Heading2"/>
      </w:pPr>
      <w:bookmarkStart w:id="78" w:name="_Annexe_C_1"/>
      <w:bookmarkEnd w:id="78"/>
      <w:r>
        <w:lastRenderedPageBreak/>
        <w:t>Annexe C</w:t>
      </w:r>
    </w:p>
    <w:p w14:paraId="0DADF8CD" w14:textId="0C4B815F" w:rsidR="00A55F13" w:rsidRDefault="00890F3A">
      <w:pPr>
        <w:spacing w:after="0" w:line="240" w:lineRule="auto"/>
        <w:rPr>
          <w:noProof/>
          <w:lang w:eastAsia="en-CA"/>
        </w:rPr>
      </w:pPr>
      <w:r w:rsidRPr="00CE70F3">
        <w:rPr>
          <w:noProof/>
          <w:lang w:val="fr-CA" w:eastAsia="zh-CN"/>
        </w:rPr>
        <w:t xml:space="preserve"> </w:t>
      </w:r>
    </w:p>
    <w:p w14:paraId="2543A6DE" w14:textId="55969A65" w:rsidR="00FF124F" w:rsidRDefault="000E6950">
      <w:pPr>
        <w:spacing w:after="0" w:line="240" w:lineRule="auto"/>
        <w:rPr>
          <w:lang w:val="fr-CA"/>
        </w:rPr>
      </w:pPr>
      <w:r>
        <w:rPr>
          <w:noProof/>
          <w:lang w:eastAsia="zh-CN"/>
        </w:rPr>
        <w:drawing>
          <wp:inline distT="0" distB="0" distL="0" distR="0" wp14:anchorId="7CAD6F71" wp14:editId="46064405">
            <wp:extent cx="6696075" cy="83153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696075" cy="8315325"/>
                    </a:xfrm>
                    <a:prstGeom prst="rect">
                      <a:avLst/>
                    </a:prstGeom>
                  </pic:spPr>
                </pic:pic>
              </a:graphicData>
            </a:graphic>
          </wp:inline>
        </w:drawing>
      </w:r>
    </w:p>
    <w:p w14:paraId="4700D5D1" w14:textId="5F0A45B4" w:rsidR="004F6145" w:rsidRDefault="004F6145">
      <w:pPr>
        <w:spacing w:after="0" w:line="240" w:lineRule="auto"/>
        <w:rPr>
          <w:lang w:val="fr-CA"/>
        </w:rPr>
      </w:pPr>
    </w:p>
    <w:p w14:paraId="4DD75614" w14:textId="77777777" w:rsidR="00214279" w:rsidRDefault="00214279">
      <w:pPr>
        <w:spacing w:after="0" w:line="240" w:lineRule="auto"/>
        <w:rPr>
          <w:lang w:val="fr-CA"/>
        </w:rPr>
      </w:pPr>
    </w:p>
    <w:p w14:paraId="70FF267F" w14:textId="77777777" w:rsidR="00602AB5" w:rsidRDefault="00B313CD" w:rsidP="00B313CD">
      <w:pPr>
        <w:rPr>
          <w:b/>
          <w:lang w:val="fr-CA"/>
        </w:rPr>
      </w:pPr>
      <w:r w:rsidRPr="009F07ED">
        <w:rPr>
          <w:b/>
          <w:lang w:val="fr-CA"/>
        </w:rPr>
        <w:t xml:space="preserve">Annexe </w:t>
      </w:r>
      <w:r w:rsidR="00413F26" w:rsidRPr="001C0164">
        <w:rPr>
          <w:b/>
          <w:lang w:val="fr-CA"/>
        </w:rPr>
        <w:t>C</w:t>
      </w:r>
      <w:r w:rsidRPr="009F07ED">
        <w:rPr>
          <w:b/>
          <w:lang w:val="fr-CA"/>
        </w:rPr>
        <w:t xml:space="preserve"> - Cadre de droits d’accise </w:t>
      </w:r>
      <w:r w:rsidR="00602AB5" w:rsidRPr="00CE70F3">
        <w:rPr>
          <w:b/>
          <w:lang w:val="fr-CA"/>
        </w:rPr>
        <w:t>pour l’importation des produits de vapotage</w:t>
      </w:r>
      <w:r w:rsidR="00602AB5" w:rsidRPr="009F07ED">
        <w:rPr>
          <w:b/>
          <w:lang w:val="fr-CA"/>
        </w:rPr>
        <w:t xml:space="preserve"> </w:t>
      </w:r>
    </w:p>
    <w:p w14:paraId="4A5981E0" w14:textId="46286B02" w:rsidR="00B313CD" w:rsidRPr="009F07ED" w:rsidRDefault="00602AB5" w:rsidP="00B313CD">
      <w:pPr>
        <w:rPr>
          <w:b/>
          <w:lang w:val="fr-CA"/>
        </w:rPr>
      </w:pPr>
      <w:r>
        <w:rPr>
          <w:b/>
          <w:lang w:val="fr-CA"/>
        </w:rPr>
        <w:t>P</w:t>
      </w:r>
      <w:r w:rsidR="00B313CD" w:rsidRPr="009F07ED">
        <w:rPr>
          <w:b/>
          <w:lang w:val="fr-CA"/>
        </w:rPr>
        <w:t>roduits de vapotage emballés : version textuelle</w:t>
      </w:r>
    </w:p>
    <w:p w14:paraId="66D847C3" w14:textId="77777777" w:rsidR="00B313CD" w:rsidRPr="009F07ED" w:rsidRDefault="00B313CD" w:rsidP="00B313CD">
      <w:pPr>
        <w:rPr>
          <w:b/>
          <w:lang w:val="fr-CA"/>
        </w:rPr>
      </w:pPr>
      <w:r w:rsidRPr="009F07ED">
        <w:rPr>
          <w:b/>
          <w:lang w:val="fr-CA"/>
        </w:rPr>
        <w:t>Licences et agréments — exigences</w:t>
      </w:r>
    </w:p>
    <w:p w14:paraId="1245F86E" w14:textId="77777777" w:rsidR="00B313CD" w:rsidRPr="00B313CD" w:rsidRDefault="00B313CD" w:rsidP="00B313CD">
      <w:pPr>
        <w:rPr>
          <w:lang w:val="fr-CA"/>
        </w:rPr>
      </w:pPr>
      <w:r w:rsidRPr="00B313CD">
        <w:rPr>
          <w:lang w:val="fr-CA"/>
        </w:rPr>
        <w:t>Si l’importateur importe uniquement des produits de vapotage emballés, estampillés et destinés au marché canadien des marchandises acquittées (sans fabrication ni estampillage au Canada) :</w:t>
      </w:r>
    </w:p>
    <w:p w14:paraId="21585FB7" w14:textId="77777777" w:rsidR="00B313CD" w:rsidRPr="00B313CD" w:rsidRDefault="00B313CD" w:rsidP="00CE70F3">
      <w:pPr>
        <w:ind w:left="284"/>
        <w:rPr>
          <w:lang w:val="fr-CA"/>
        </w:rPr>
      </w:pPr>
      <w:r w:rsidRPr="00B313CD">
        <w:rPr>
          <w:lang w:val="fr-CA"/>
        </w:rPr>
        <w:t>•</w:t>
      </w:r>
      <w:r w:rsidRPr="00B313CD">
        <w:rPr>
          <w:lang w:val="fr-CA"/>
        </w:rPr>
        <w:tab/>
        <w:t>Inscription de personne visée par règlement relativement aux produits de vapotage est requise</w:t>
      </w:r>
    </w:p>
    <w:p w14:paraId="565CBB75" w14:textId="06A435A2" w:rsidR="00B313CD" w:rsidRPr="00B313CD" w:rsidRDefault="00B313CD" w:rsidP="00CE70F3">
      <w:pPr>
        <w:ind w:left="284"/>
        <w:rPr>
          <w:lang w:val="fr-CA"/>
        </w:rPr>
      </w:pPr>
      <w:r w:rsidRPr="00B313CD">
        <w:rPr>
          <w:lang w:val="fr-CA"/>
        </w:rPr>
        <w:t>•</w:t>
      </w:r>
      <w:r w:rsidRPr="00B313CD">
        <w:rPr>
          <w:lang w:val="fr-CA"/>
        </w:rPr>
        <w:tab/>
        <w:t xml:space="preserve">Inscription au </w:t>
      </w:r>
      <w:r w:rsidR="0017781A" w:rsidRPr="00B313CD">
        <w:rPr>
          <w:lang w:val="fr-CA"/>
        </w:rPr>
        <w:t>régime</w:t>
      </w:r>
      <w:r w:rsidRPr="00B313CD">
        <w:rPr>
          <w:lang w:val="fr-CA"/>
        </w:rPr>
        <w:t xml:space="preserve"> d’estampillage des produits de vapotage est requise</w:t>
      </w:r>
    </w:p>
    <w:p w14:paraId="429BA27C" w14:textId="77777777" w:rsidR="00B313CD" w:rsidRPr="00B313CD" w:rsidRDefault="00B313CD" w:rsidP="00B313CD">
      <w:pPr>
        <w:rPr>
          <w:lang w:val="fr-CA"/>
        </w:rPr>
      </w:pPr>
      <w:r w:rsidRPr="00B313CD">
        <w:rPr>
          <w:lang w:val="fr-CA"/>
        </w:rPr>
        <w:t>Si l’importateur fabrique ou estampille des produits de vapotage au Canada :</w:t>
      </w:r>
    </w:p>
    <w:p w14:paraId="30190561" w14:textId="4335255B" w:rsidR="00B313CD" w:rsidRPr="00B313CD" w:rsidRDefault="00B313CD" w:rsidP="00CE70F3">
      <w:pPr>
        <w:ind w:left="284"/>
        <w:rPr>
          <w:lang w:val="fr-CA"/>
        </w:rPr>
      </w:pPr>
      <w:r w:rsidRPr="00B313CD">
        <w:rPr>
          <w:lang w:val="fr-CA"/>
        </w:rPr>
        <w:t>•</w:t>
      </w:r>
      <w:r w:rsidRPr="00B313CD">
        <w:rPr>
          <w:lang w:val="fr-CA"/>
        </w:rPr>
        <w:tab/>
        <w:t xml:space="preserve">Une licence de produits de vapotage </w:t>
      </w:r>
      <w:r w:rsidR="00F1118C">
        <w:rPr>
          <w:lang w:val="fr-CA"/>
        </w:rPr>
        <w:t xml:space="preserve">(LPV) </w:t>
      </w:r>
      <w:r w:rsidRPr="00B313CD">
        <w:rPr>
          <w:lang w:val="fr-CA"/>
        </w:rPr>
        <w:t>est requise</w:t>
      </w:r>
    </w:p>
    <w:p w14:paraId="4AF0343A" w14:textId="76D46FE7" w:rsidR="00B313CD" w:rsidRPr="00B313CD" w:rsidRDefault="00B313CD" w:rsidP="00CE70F3">
      <w:pPr>
        <w:ind w:left="284"/>
        <w:rPr>
          <w:lang w:val="fr-CA"/>
        </w:rPr>
      </w:pPr>
      <w:r w:rsidRPr="00B313CD">
        <w:rPr>
          <w:lang w:val="fr-CA"/>
        </w:rPr>
        <w:t>•</w:t>
      </w:r>
      <w:r w:rsidRPr="00B313CD">
        <w:rPr>
          <w:lang w:val="fr-CA"/>
        </w:rPr>
        <w:tab/>
        <w:t xml:space="preserve">Inscription au </w:t>
      </w:r>
      <w:r w:rsidR="0017781A" w:rsidRPr="00B313CD">
        <w:rPr>
          <w:lang w:val="fr-CA"/>
        </w:rPr>
        <w:t>régime</w:t>
      </w:r>
      <w:r w:rsidRPr="00B313CD">
        <w:rPr>
          <w:lang w:val="fr-CA"/>
        </w:rPr>
        <w:t xml:space="preserve"> d’estampillage des produits de vapotage peut être requis</w:t>
      </w:r>
    </w:p>
    <w:p w14:paraId="7C1074AD" w14:textId="179DF323" w:rsidR="00B313CD" w:rsidRPr="00B313CD" w:rsidRDefault="00B313CD" w:rsidP="00CE70F3">
      <w:pPr>
        <w:ind w:left="284"/>
        <w:rPr>
          <w:lang w:val="fr-CA"/>
        </w:rPr>
      </w:pPr>
      <w:r w:rsidRPr="00B313CD">
        <w:rPr>
          <w:lang w:val="fr-CA"/>
        </w:rPr>
        <w:t>•</w:t>
      </w:r>
      <w:r w:rsidRPr="00B313CD">
        <w:rPr>
          <w:lang w:val="fr-CA"/>
        </w:rPr>
        <w:tab/>
        <w:t xml:space="preserve">Agrément d’exploitant d’entrepôt d’accise est aussi requis si le titulaire de </w:t>
      </w:r>
      <w:r w:rsidR="00F1118C">
        <w:rPr>
          <w:lang w:val="fr-CA"/>
        </w:rPr>
        <w:t xml:space="preserve">LPV </w:t>
      </w:r>
      <w:r w:rsidRPr="00B313CD">
        <w:rPr>
          <w:lang w:val="fr-CA"/>
        </w:rPr>
        <w:t>importe des produits de vapotage au Canada pour</w:t>
      </w:r>
      <w:r w:rsidR="00982DBA">
        <w:rPr>
          <w:lang w:val="fr-CA"/>
        </w:rPr>
        <w:t xml:space="preserve"> exportation ou pour vente à un</w:t>
      </w:r>
      <w:r w:rsidRPr="00B313CD">
        <w:rPr>
          <w:lang w:val="fr-CA"/>
        </w:rPr>
        <w:t xml:space="preserve"> représentant accrédité</w:t>
      </w:r>
    </w:p>
    <w:p w14:paraId="58A28078" w14:textId="77777777" w:rsidR="00B313CD" w:rsidRPr="00B313CD" w:rsidRDefault="00B313CD" w:rsidP="00CE70F3">
      <w:pPr>
        <w:ind w:left="284"/>
        <w:rPr>
          <w:lang w:val="fr-CA"/>
        </w:rPr>
      </w:pPr>
      <w:r w:rsidRPr="00B313CD">
        <w:rPr>
          <w:lang w:val="fr-CA"/>
        </w:rPr>
        <w:t>•</w:t>
      </w:r>
      <w:r w:rsidRPr="00B313CD">
        <w:rPr>
          <w:lang w:val="fr-CA"/>
        </w:rPr>
        <w:tab/>
        <w:t>Si l’importateur fait l’importation seulement pour son usage personnel en quantités ne dépassant pas la limite prescrite de 5 unités :</w:t>
      </w:r>
    </w:p>
    <w:p w14:paraId="6D276DA2" w14:textId="77777777" w:rsidR="00B313CD" w:rsidRPr="00B313CD" w:rsidRDefault="00B313CD" w:rsidP="00CE70F3">
      <w:pPr>
        <w:ind w:left="284"/>
        <w:rPr>
          <w:lang w:val="fr-CA"/>
        </w:rPr>
      </w:pPr>
      <w:r w:rsidRPr="00B313CD">
        <w:rPr>
          <w:lang w:val="fr-CA"/>
        </w:rPr>
        <w:t>•</w:t>
      </w:r>
      <w:r w:rsidRPr="00B313CD">
        <w:rPr>
          <w:lang w:val="fr-CA"/>
        </w:rPr>
        <w:tab/>
        <w:t xml:space="preserve">Licence de produits de vapotage et inscription de personne visée par règlement relativement aux produits de vapotage </w:t>
      </w:r>
      <w:r w:rsidRPr="009F07ED">
        <w:rPr>
          <w:b/>
          <w:lang w:val="fr-CA"/>
        </w:rPr>
        <w:t>ne</w:t>
      </w:r>
      <w:r w:rsidRPr="00B313CD">
        <w:rPr>
          <w:lang w:val="fr-CA"/>
        </w:rPr>
        <w:t xml:space="preserve"> sont </w:t>
      </w:r>
      <w:r w:rsidRPr="009F07ED">
        <w:rPr>
          <w:b/>
          <w:lang w:val="fr-CA"/>
        </w:rPr>
        <w:t>pas</w:t>
      </w:r>
      <w:r w:rsidRPr="00B313CD">
        <w:rPr>
          <w:lang w:val="fr-CA"/>
        </w:rPr>
        <w:t xml:space="preserve"> requises</w:t>
      </w:r>
    </w:p>
    <w:p w14:paraId="1CA5CB3A" w14:textId="0C3AE479" w:rsidR="00B313CD" w:rsidRPr="00B313CD" w:rsidRDefault="00B313CD" w:rsidP="00CE70F3">
      <w:pPr>
        <w:ind w:left="284"/>
        <w:rPr>
          <w:lang w:val="fr-CA"/>
        </w:rPr>
      </w:pPr>
      <w:r w:rsidRPr="00B313CD">
        <w:rPr>
          <w:lang w:val="fr-CA"/>
        </w:rPr>
        <w:t>•</w:t>
      </w:r>
      <w:r w:rsidRPr="00B313CD">
        <w:rPr>
          <w:lang w:val="fr-CA"/>
        </w:rPr>
        <w:tab/>
        <w:t xml:space="preserve">Inscription au </w:t>
      </w:r>
      <w:r w:rsidR="00E11DCB" w:rsidRPr="00B313CD">
        <w:rPr>
          <w:lang w:val="fr-CA"/>
        </w:rPr>
        <w:t>régime</w:t>
      </w:r>
      <w:r w:rsidRPr="00B313CD">
        <w:rPr>
          <w:lang w:val="fr-CA"/>
        </w:rPr>
        <w:t xml:space="preserve"> d’estampillage des produits de vapotage </w:t>
      </w:r>
      <w:r w:rsidRPr="009F07ED">
        <w:rPr>
          <w:b/>
          <w:lang w:val="fr-CA"/>
        </w:rPr>
        <w:t>n</w:t>
      </w:r>
      <w:r w:rsidRPr="00B313CD">
        <w:rPr>
          <w:lang w:val="fr-CA"/>
        </w:rPr>
        <w:t xml:space="preserve">’est </w:t>
      </w:r>
      <w:r w:rsidRPr="009F07ED">
        <w:rPr>
          <w:b/>
          <w:lang w:val="fr-CA"/>
        </w:rPr>
        <w:t>pas</w:t>
      </w:r>
      <w:r w:rsidRPr="00B313CD">
        <w:rPr>
          <w:lang w:val="fr-CA"/>
        </w:rPr>
        <w:t xml:space="preserve"> requise</w:t>
      </w:r>
    </w:p>
    <w:p w14:paraId="3CB410C2" w14:textId="77777777" w:rsidR="00F4271F" w:rsidRDefault="00F4271F" w:rsidP="00B313CD">
      <w:pPr>
        <w:rPr>
          <w:b/>
          <w:lang w:val="fr-CA"/>
        </w:rPr>
      </w:pPr>
    </w:p>
    <w:p w14:paraId="7A79B021" w14:textId="0685239E" w:rsidR="00B313CD" w:rsidRPr="009F07ED" w:rsidRDefault="00B313CD" w:rsidP="00B313CD">
      <w:pPr>
        <w:rPr>
          <w:b/>
          <w:lang w:val="fr-CA"/>
        </w:rPr>
      </w:pPr>
      <w:r w:rsidRPr="009F07ED">
        <w:rPr>
          <w:b/>
          <w:lang w:val="fr-CA"/>
        </w:rPr>
        <w:lastRenderedPageBreak/>
        <w:t>Exigences d’estampillage</w:t>
      </w:r>
    </w:p>
    <w:p w14:paraId="6A484BD2" w14:textId="0F88379F" w:rsidR="00B313CD" w:rsidRPr="00A55F13" w:rsidRDefault="00866557" w:rsidP="00CE70F3">
      <w:pPr>
        <w:pStyle w:val="ListParagraph"/>
        <w:numPr>
          <w:ilvl w:val="0"/>
          <w:numId w:val="13"/>
        </w:numPr>
        <w:ind w:left="284" w:firstLine="0"/>
        <w:rPr>
          <w:lang w:val="fr-CA"/>
        </w:rPr>
      </w:pPr>
      <w:r w:rsidRPr="00A55F13">
        <w:rPr>
          <w:lang w:val="fr-CA"/>
        </w:rPr>
        <w:t>Un t</w:t>
      </w:r>
      <w:r w:rsidR="00B313CD" w:rsidRPr="00A55F13">
        <w:rPr>
          <w:lang w:val="fr-CA"/>
        </w:rPr>
        <w:t xml:space="preserve">imbre de vapotage </w:t>
      </w:r>
      <w:r w:rsidRPr="00A55F13">
        <w:rPr>
          <w:lang w:val="fr-CA"/>
        </w:rPr>
        <w:t xml:space="preserve">approprié </w:t>
      </w:r>
      <w:r w:rsidR="00B313CD" w:rsidRPr="00A55F13">
        <w:rPr>
          <w:lang w:val="fr-CA"/>
        </w:rPr>
        <w:t>est requis avant la mainlevée de l’ASFC</w:t>
      </w:r>
    </w:p>
    <w:p w14:paraId="21B3A5C7" w14:textId="4E074D55" w:rsidR="00D0615A" w:rsidRPr="000C5F67" w:rsidRDefault="00B313CD" w:rsidP="00CE70F3">
      <w:pPr>
        <w:ind w:left="284"/>
        <w:rPr>
          <w:lang w:val="fr-CA"/>
        </w:rPr>
      </w:pPr>
      <w:r w:rsidRPr="00B313CD">
        <w:rPr>
          <w:lang w:val="fr-CA"/>
        </w:rPr>
        <w:t>•</w:t>
      </w:r>
      <w:r w:rsidR="00A55F13">
        <w:rPr>
          <w:lang w:val="fr-CA"/>
        </w:rPr>
        <w:tab/>
      </w:r>
      <w:r w:rsidRPr="00B313CD">
        <w:rPr>
          <w:lang w:val="fr-CA"/>
        </w:rPr>
        <w:t xml:space="preserve">Si non estampillés, les produis doivent être exportés, abandonnés ou déposés dans un entrepôt </w:t>
      </w:r>
      <w:r w:rsidRPr="000C5F67">
        <w:rPr>
          <w:lang w:val="fr-CA"/>
        </w:rPr>
        <w:t xml:space="preserve">d’attente des douanes pour être estampillés </w:t>
      </w:r>
    </w:p>
    <w:p w14:paraId="789E031C" w14:textId="77777777" w:rsidR="00D0615A" w:rsidRPr="00CE70F3" w:rsidRDefault="00D0615A" w:rsidP="00CE70F3">
      <w:pPr>
        <w:pStyle w:val="ListParagraph"/>
        <w:widowControl w:val="0"/>
        <w:numPr>
          <w:ilvl w:val="0"/>
          <w:numId w:val="12"/>
        </w:numPr>
        <w:autoSpaceDE w:val="0"/>
        <w:autoSpaceDN w:val="0"/>
        <w:spacing w:before="144" w:after="0" w:line="240" w:lineRule="auto"/>
        <w:ind w:left="284" w:firstLine="0"/>
        <w:contextualSpacing w:val="0"/>
        <w:rPr>
          <w:lang w:val="fr-CA"/>
        </w:rPr>
      </w:pPr>
      <w:r w:rsidRPr="00CE70F3">
        <w:rPr>
          <w:lang w:val="fr-CA"/>
        </w:rPr>
        <w:t>Un timbre de vapotage approprié est apposé sur les produits emballés</w:t>
      </w:r>
    </w:p>
    <w:p w14:paraId="60EA324B" w14:textId="15384E70" w:rsidR="00D0615A" w:rsidRPr="00CE70F3" w:rsidRDefault="00D0615A" w:rsidP="00CE70F3">
      <w:pPr>
        <w:pStyle w:val="ListParagraph"/>
        <w:widowControl w:val="0"/>
        <w:numPr>
          <w:ilvl w:val="0"/>
          <w:numId w:val="12"/>
        </w:numPr>
        <w:autoSpaceDE w:val="0"/>
        <w:autoSpaceDN w:val="0"/>
        <w:spacing w:before="144" w:after="0" w:line="240" w:lineRule="auto"/>
        <w:ind w:left="284" w:firstLine="0"/>
        <w:contextualSpacing w:val="0"/>
        <w:rPr>
          <w:lang w:val="fr-CA"/>
        </w:rPr>
      </w:pPr>
      <w:r w:rsidRPr="00CE70F3">
        <w:rPr>
          <w:lang w:val="fr-CA"/>
        </w:rPr>
        <w:t xml:space="preserve">S'ils ne sont pas estampillés : les produits doivent être exportés, abandonnés, entrés dans un entrepôt d'attente des douanes ou introduits dans les locaux </w:t>
      </w:r>
      <w:r w:rsidR="00866557" w:rsidRPr="00CE70F3">
        <w:rPr>
          <w:rFonts w:cs="Arial"/>
          <w:szCs w:val="24"/>
          <w:lang w:val="fr-CA"/>
        </w:rPr>
        <w:t>du titulaire de LPV</w:t>
      </w:r>
      <w:r w:rsidR="00CB665F" w:rsidRPr="00CE70F3">
        <w:rPr>
          <w:lang w:val="fr-CA"/>
        </w:rPr>
        <w:t xml:space="preserve"> pour être estampillés</w:t>
      </w:r>
    </w:p>
    <w:p w14:paraId="7F79A438" w14:textId="77777777" w:rsidR="00D0615A" w:rsidRPr="00B313CD" w:rsidRDefault="00D0615A" w:rsidP="00CE70F3">
      <w:pPr>
        <w:ind w:left="284"/>
        <w:rPr>
          <w:lang w:val="fr-CA"/>
        </w:rPr>
      </w:pPr>
    </w:p>
    <w:p w14:paraId="4F9891F1" w14:textId="77777777" w:rsidR="00B313CD" w:rsidRPr="00B313CD" w:rsidRDefault="00B313CD" w:rsidP="00B313CD">
      <w:pPr>
        <w:rPr>
          <w:lang w:val="fr-CA"/>
        </w:rPr>
      </w:pPr>
      <w:r w:rsidRPr="00B313CD">
        <w:rPr>
          <w:lang w:val="fr-CA"/>
        </w:rPr>
        <w:t xml:space="preserve">Timbre de vapotage n’est pas requis si: </w:t>
      </w:r>
    </w:p>
    <w:p w14:paraId="2B23AFB5" w14:textId="57BB8BD0" w:rsidR="00B313CD" w:rsidRPr="00B313CD" w:rsidRDefault="00B313CD" w:rsidP="00CE70F3">
      <w:pPr>
        <w:ind w:left="142"/>
        <w:rPr>
          <w:lang w:val="fr-CA"/>
        </w:rPr>
      </w:pPr>
      <w:r w:rsidRPr="00B313CD">
        <w:rPr>
          <w:lang w:val="fr-CA"/>
        </w:rPr>
        <w:t>•</w:t>
      </w:r>
      <w:r w:rsidRPr="00B313CD">
        <w:rPr>
          <w:lang w:val="fr-CA"/>
        </w:rPr>
        <w:tab/>
        <w:t>Les produits de vapotage sont emballés et seront estampillés au Canada</w:t>
      </w:r>
      <w:r w:rsidR="00EC1058">
        <w:rPr>
          <w:lang w:val="fr-CA"/>
        </w:rPr>
        <w:t xml:space="preserve"> </w:t>
      </w:r>
      <w:r w:rsidR="00EC1058" w:rsidRPr="004D1595">
        <w:rPr>
          <w:lang w:val="fr-CA"/>
        </w:rPr>
        <w:t xml:space="preserve">dans les locaux </w:t>
      </w:r>
      <w:r w:rsidR="00EC1058" w:rsidRPr="004D1595">
        <w:rPr>
          <w:rFonts w:cs="Arial"/>
          <w:szCs w:val="24"/>
          <w:lang w:val="fr-CA"/>
        </w:rPr>
        <w:t>du titulaire de LPV</w:t>
      </w:r>
    </w:p>
    <w:p w14:paraId="2B52E8E2" w14:textId="5C54A01B" w:rsidR="00B313CD" w:rsidRPr="006720F9" w:rsidRDefault="00B313CD" w:rsidP="00CE70F3">
      <w:pPr>
        <w:ind w:left="142"/>
        <w:rPr>
          <w:lang w:val="fr-CA"/>
        </w:rPr>
      </w:pPr>
      <w:r w:rsidRPr="00B313CD">
        <w:rPr>
          <w:lang w:val="fr-CA"/>
        </w:rPr>
        <w:t>•</w:t>
      </w:r>
      <w:r w:rsidRPr="00B313CD">
        <w:rPr>
          <w:lang w:val="fr-CA"/>
        </w:rPr>
        <w:tab/>
        <w:t>Les produits de vapotage</w:t>
      </w:r>
      <w:r w:rsidR="00982DBA">
        <w:rPr>
          <w:lang w:val="fr-CA"/>
        </w:rPr>
        <w:t xml:space="preserve"> sont destinés à la vente à un </w:t>
      </w:r>
      <w:r w:rsidRPr="00B313CD">
        <w:rPr>
          <w:lang w:val="fr-CA"/>
        </w:rPr>
        <w:t xml:space="preserve">représentant accrédité ou pour être livré à </w:t>
      </w:r>
      <w:r w:rsidRPr="00072E23">
        <w:rPr>
          <w:lang w:val="fr-CA"/>
        </w:rPr>
        <w:t xml:space="preserve">un entrepôt d’accise. Remarque : ces produits doivent également contenir les marquages prescrits  </w:t>
      </w:r>
    </w:p>
    <w:p w14:paraId="36F0C90F" w14:textId="77777777" w:rsidR="00B313CD" w:rsidRPr="00B313CD" w:rsidRDefault="00B313CD" w:rsidP="00B313CD">
      <w:pPr>
        <w:rPr>
          <w:lang w:val="fr-CA"/>
        </w:rPr>
      </w:pPr>
      <w:r w:rsidRPr="006720F9">
        <w:rPr>
          <w:lang w:val="fr-CA"/>
        </w:rPr>
        <w:t>Timbre de vapotage n’est pas requis</w:t>
      </w:r>
    </w:p>
    <w:p w14:paraId="38DA6023" w14:textId="77777777" w:rsidR="00F4271F" w:rsidRDefault="00F4271F" w:rsidP="00B313CD">
      <w:pPr>
        <w:rPr>
          <w:b/>
          <w:lang w:val="fr-CA"/>
        </w:rPr>
      </w:pPr>
    </w:p>
    <w:p w14:paraId="4E5E0C74" w14:textId="05A63E9A" w:rsidR="00B313CD" w:rsidRPr="009F07ED" w:rsidRDefault="00B313CD" w:rsidP="00B313CD">
      <w:pPr>
        <w:rPr>
          <w:b/>
          <w:lang w:val="fr-CA"/>
        </w:rPr>
      </w:pPr>
      <w:r w:rsidRPr="009F07ED">
        <w:rPr>
          <w:b/>
          <w:lang w:val="fr-CA"/>
        </w:rPr>
        <w:t>Droit sur le vapotage</w:t>
      </w:r>
      <w:r w:rsidR="005E75F8">
        <w:rPr>
          <w:b/>
          <w:lang w:val="fr-CA"/>
        </w:rPr>
        <w:t xml:space="preserve"> et droit additionnel sur le vapotage</w:t>
      </w:r>
    </w:p>
    <w:p w14:paraId="5FD684FF" w14:textId="1DE2F1B5" w:rsidR="00B313CD" w:rsidRPr="00B313CD" w:rsidRDefault="005E75F8" w:rsidP="00B313CD">
      <w:pPr>
        <w:rPr>
          <w:lang w:val="fr-CA"/>
        </w:rPr>
      </w:pPr>
      <w:r>
        <w:rPr>
          <w:lang w:val="fr-CA"/>
        </w:rPr>
        <w:t>Le d</w:t>
      </w:r>
      <w:r w:rsidR="00B313CD" w:rsidRPr="00B313CD">
        <w:rPr>
          <w:lang w:val="fr-CA"/>
        </w:rPr>
        <w:t>roit sur le vapotage</w:t>
      </w:r>
      <w:r>
        <w:rPr>
          <w:lang w:val="fr-CA"/>
        </w:rPr>
        <w:t xml:space="preserve"> et le droit additionnel sur le vapotage</w:t>
      </w:r>
      <w:r w:rsidR="00B313CD" w:rsidRPr="00B313CD">
        <w:rPr>
          <w:lang w:val="fr-CA"/>
        </w:rPr>
        <w:t xml:space="preserve"> </w:t>
      </w:r>
      <w:r>
        <w:rPr>
          <w:lang w:val="fr-CA"/>
        </w:rPr>
        <w:t>sont</w:t>
      </w:r>
      <w:r w:rsidRPr="00B313CD">
        <w:rPr>
          <w:lang w:val="fr-CA"/>
        </w:rPr>
        <w:t xml:space="preserve"> </w:t>
      </w:r>
      <w:r w:rsidRPr="00CE70F3">
        <w:rPr>
          <w:rFonts w:cs="Arial"/>
          <w:szCs w:val="24"/>
          <w:lang w:val="fr-CA"/>
        </w:rPr>
        <w:t>payables à l’ASFC</w:t>
      </w:r>
      <w:r w:rsidR="00B313CD" w:rsidRPr="00B313CD">
        <w:rPr>
          <w:lang w:val="fr-CA"/>
        </w:rPr>
        <w:t xml:space="preserve"> au moment de la déclaration en détail</w:t>
      </w:r>
    </w:p>
    <w:p w14:paraId="43B912CA" w14:textId="265F706B" w:rsidR="00B313CD" w:rsidRPr="00D325EA" w:rsidRDefault="00B313CD" w:rsidP="00B313CD">
      <w:pPr>
        <w:rPr>
          <w:lang w:val="fr-CA"/>
        </w:rPr>
      </w:pPr>
      <w:r w:rsidRPr="00D325EA">
        <w:rPr>
          <w:lang w:val="fr-CA"/>
        </w:rPr>
        <w:t>(voir</w:t>
      </w:r>
      <w:r w:rsidR="0074624A">
        <w:rPr>
          <w:lang w:val="fr-CA"/>
        </w:rPr>
        <w:t> </w:t>
      </w:r>
      <w:r w:rsidRPr="00D325EA">
        <w:rPr>
          <w:lang w:val="fr-CA"/>
        </w:rPr>
        <w:t>Déclaration et déclaration en détail</w:t>
      </w:r>
    </w:p>
    <w:p w14:paraId="19F623C8" w14:textId="187F5392" w:rsidR="00B313CD" w:rsidRPr="00D325EA" w:rsidRDefault="00081B73" w:rsidP="00B313CD">
      <w:pPr>
        <w:rPr>
          <w:lang w:val="fr-CA"/>
        </w:rPr>
      </w:pPr>
      <w:r>
        <w:rPr>
          <w:lang w:val="fr-CA"/>
        </w:rPr>
        <w:t>Le d</w:t>
      </w:r>
      <w:r w:rsidRPr="00B313CD">
        <w:rPr>
          <w:lang w:val="fr-CA"/>
        </w:rPr>
        <w:t>roit sur le vapotage</w:t>
      </w:r>
      <w:r>
        <w:rPr>
          <w:lang w:val="fr-CA"/>
        </w:rPr>
        <w:t xml:space="preserve"> et le droit additionnel sur le vapotage</w:t>
      </w:r>
      <w:r w:rsidRPr="00B313CD">
        <w:rPr>
          <w:lang w:val="fr-CA"/>
        </w:rPr>
        <w:t xml:space="preserve"> </w:t>
      </w:r>
      <w:r w:rsidRPr="00CE70F3">
        <w:rPr>
          <w:b/>
          <w:lang w:val="fr-CA"/>
        </w:rPr>
        <w:t>sont</w:t>
      </w:r>
      <w:r w:rsidR="00982DBA" w:rsidRPr="00CE70F3">
        <w:rPr>
          <w:b/>
          <w:lang w:val="fr-CA"/>
        </w:rPr>
        <w:t xml:space="preserve"> exonéré</w:t>
      </w:r>
      <w:r w:rsidRPr="00CE70F3">
        <w:rPr>
          <w:b/>
          <w:lang w:val="fr-CA"/>
        </w:rPr>
        <w:t>s</w:t>
      </w:r>
      <w:r w:rsidR="00982DBA">
        <w:rPr>
          <w:lang w:val="fr-CA"/>
        </w:rPr>
        <w:t xml:space="preserve"> </w:t>
      </w:r>
      <w:r w:rsidR="00B313CD" w:rsidRPr="00D325EA">
        <w:rPr>
          <w:lang w:val="fr-CA"/>
        </w:rPr>
        <w:t>ou non payable</w:t>
      </w:r>
      <w:r>
        <w:rPr>
          <w:lang w:val="fr-CA"/>
        </w:rPr>
        <w:t>s</w:t>
      </w:r>
      <w:r w:rsidR="00B313CD" w:rsidRPr="00D325EA">
        <w:rPr>
          <w:lang w:val="fr-CA"/>
        </w:rPr>
        <w:t xml:space="preserve"> (ser</w:t>
      </w:r>
      <w:r>
        <w:rPr>
          <w:lang w:val="fr-CA"/>
        </w:rPr>
        <w:t>ont</w:t>
      </w:r>
      <w:r w:rsidR="00B313CD" w:rsidRPr="00D325EA">
        <w:rPr>
          <w:lang w:val="fr-CA"/>
        </w:rPr>
        <w:t xml:space="preserve"> payable</w:t>
      </w:r>
      <w:r>
        <w:rPr>
          <w:lang w:val="fr-CA"/>
        </w:rPr>
        <w:t>s</w:t>
      </w:r>
      <w:r w:rsidR="00B313CD" w:rsidRPr="00D325EA">
        <w:rPr>
          <w:lang w:val="fr-CA"/>
        </w:rPr>
        <w:t xml:space="preserve"> </w:t>
      </w:r>
      <w:r w:rsidR="00D67C7E" w:rsidRPr="00CE70F3">
        <w:rPr>
          <w:rFonts w:cs="Arial"/>
          <w:szCs w:val="24"/>
          <w:lang w:val="fr-CA"/>
        </w:rPr>
        <w:t>à l’ARC</w:t>
      </w:r>
      <w:r w:rsidR="00D67C7E">
        <w:rPr>
          <w:rFonts w:asciiTheme="minorHAnsi" w:hAnsiTheme="minorHAnsi" w:cstheme="minorHAnsi"/>
          <w:sz w:val="16"/>
          <w:lang w:val="fr-CA"/>
        </w:rPr>
        <w:t xml:space="preserve"> </w:t>
      </w:r>
      <w:r w:rsidRPr="00CE70F3">
        <w:rPr>
          <w:rFonts w:cs="Arial"/>
          <w:szCs w:val="24"/>
          <w:lang w:val="fr-CA"/>
        </w:rPr>
        <w:t>une fois que les produits auront été estampillés dans les locaux du titulaire de LPV</w:t>
      </w:r>
      <w:r w:rsidR="00B313CD" w:rsidRPr="00D325EA">
        <w:rPr>
          <w:lang w:val="fr-CA"/>
        </w:rPr>
        <w:t>)</w:t>
      </w:r>
    </w:p>
    <w:p w14:paraId="12C778B7" w14:textId="4DAD1866" w:rsidR="00B313CD" w:rsidRPr="00D325EA" w:rsidRDefault="00B313CD" w:rsidP="00B313CD">
      <w:pPr>
        <w:rPr>
          <w:lang w:val="fr-CA"/>
        </w:rPr>
      </w:pPr>
      <w:r w:rsidRPr="00D325EA">
        <w:rPr>
          <w:lang w:val="fr-CA"/>
        </w:rPr>
        <w:t>(voir Déclaration et déclaration en détail)</w:t>
      </w:r>
    </w:p>
    <w:p w14:paraId="78269D14" w14:textId="457F5F3E" w:rsidR="00B313CD" w:rsidRPr="00D325EA" w:rsidRDefault="008F7650" w:rsidP="00B313CD">
      <w:pPr>
        <w:rPr>
          <w:lang w:val="fr-CA"/>
        </w:rPr>
      </w:pPr>
      <w:r>
        <w:rPr>
          <w:lang w:val="fr-CA"/>
        </w:rPr>
        <w:t>Le d</w:t>
      </w:r>
      <w:r w:rsidRPr="00B313CD">
        <w:rPr>
          <w:lang w:val="fr-CA"/>
        </w:rPr>
        <w:t>roit sur le vapotage</w:t>
      </w:r>
      <w:r>
        <w:rPr>
          <w:lang w:val="fr-CA"/>
        </w:rPr>
        <w:t xml:space="preserve"> et le droit additionnel sur le vapotage</w:t>
      </w:r>
      <w:r w:rsidRPr="00B313CD">
        <w:rPr>
          <w:lang w:val="fr-CA"/>
        </w:rPr>
        <w:t xml:space="preserve"> </w:t>
      </w:r>
      <w:r w:rsidRPr="00CE70F3">
        <w:rPr>
          <w:b/>
          <w:lang w:val="fr-CA"/>
        </w:rPr>
        <w:t xml:space="preserve">sont </w:t>
      </w:r>
      <w:r w:rsidR="00982DBA" w:rsidRPr="00CE70F3">
        <w:rPr>
          <w:b/>
          <w:lang w:val="fr-CA"/>
        </w:rPr>
        <w:t>exonéré</w:t>
      </w:r>
      <w:r w:rsidRPr="00CE70F3">
        <w:rPr>
          <w:b/>
          <w:lang w:val="fr-CA"/>
        </w:rPr>
        <w:t>s</w:t>
      </w:r>
      <w:r w:rsidR="00982DBA">
        <w:rPr>
          <w:lang w:val="fr-CA"/>
        </w:rPr>
        <w:t xml:space="preserve"> </w:t>
      </w:r>
      <w:r w:rsidR="00B313CD" w:rsidRPr="00D325EA">
        <w:rPr>
          <w:lang w:val="fr-CA"/>
        </w:rPr>
        <w:t>ou non payable</w:t>
      </w:r>
      <w:r>
        <w:rPr>
          <w:lang w:val="fr-CA"/>
        </w:rPr>
        <w:t>s</w:t>
      </w:r>
      <w:r w:rsidR="00B313CD" w:rsidRPr="00D325EA">
        <w:rPr>
          <w:lang w:val="fr-CA"/>
        </w:rPr>
        <w:t xml:space="preserve"> sur une seule unité en vertu de l’exemption personnelle.</w:t>
      </w:r>
    </w:p>
    <w:p w14:paraId="3302CF4D" w14:textId="0D976A88" w:rsidR="00B313CD" w:rsidRPr="00D325EA" w:rsidRDefault="00B313CD" w:rsidP="00B313CD">
      <w:pPr>
        <w:rPr>
          <w:lang w:val="fr-CA"/>
        </w:rPr>
      </w:pPr>
      <w:r w:rsidRPr="00D325EA">
        <w:rPr>
          <w:lang w:val="fr-CA"/>
        </w:rPr>
        <w:t>(voir Déclaration et déclaration en détail)</w:t>
      </w:r>
    </w:p>
    <w:p w14:paraId="6FE21161" w14:textId="130CD0C8" w:rsidR="00D31263" w:rsidRDefault="00D31263" w:rsidP="00B313CD">
      <w:pPr>
        <w:rPr>
          <w:b/>
          <w:shd w:val="clear" w:color="auto" w:fill="FFFFFF"/>
          <w:lang w:val="fr-CA"/>
        </w:rPr>
      </w:pPr>
    </w:p>
    <w:p w14:paraId="1742AB92" w14:textId="643785C9" w:rsidR="005A7299" w:rsidRDefault="005A7299" w:rsidP="00B313CD">
      <w:pPr>
        <w:rPr>
          <w:b/>
          <w:shd w:val="clear" w:color="auto" w:fill="FFFFFF"/>
          <w:lang w:val="fr-CA"/>
        </w:rPr>
      </w:pPr>
    </w:p>
    <w:p w14:paraId="41146B47" w14:textId="648E4754" w:rsidR="001159FC" w:rsidRDefault="001159FC" w:rsidP="00B313CD">
      <w:pPr>
        <w:rPr>
          <w:b/>
          <w:shd w:val="clear" w:color="auto" w:fill="FFFFFF"/>
          <w:lang w:val="fr-CA"/>
        </w:rPr>
      </w:pPr>
    </w:p>
    <w:p w14:paraId="41535608" w14:textId="351835B1" w:rsidR="001159FC" w:rsidRDefault="001159FC" w:rsidP="00B313CD">
      <w:pPr>
        <w:rPr>
          <w:b/>
          <w:shd w:val="clear" w:color="auto" w:fill="FFFFFF"/>
          <w:lang w:val="fr-CA"/>
        </w:rPr>
      </w:pPr>
    </w:p>
    <w:p w14:paraId="7CD09765" w14:textId="694D048F" w:rsidR="001159FC" w:rsidRDefault="001159FC" w:rsidP="00B313CD">
      <w:pPr>
        <w:rPr>
          <w:b/>
          <w:shd w:val="clear" w:color="auto" w:fill="FFFFFF"/>
          <w:lang w:val="fr-CA"/>
        </w:rPr>
      </w:pPr>
    </w:p>
    <w:p w14:paraId="4AB4E05A" w14:textId="180FC6F2" w:rsidR="001159FC" w:rsidRDefault="001159FC" w:rsidP="00B313CD">
      <w:pPr>
        <w:rPr>
          <w:b/>
          <w:shd w:val="clear" w:color="auto" w:fill="FFFFFF"/>
          <w:lang w:val="fr-CA"/>
        </w:rPr>
      </w:pPr>
    </w:p>
    <w:p w14:paraId="304FFB1F" w14:textId="07619980" w:rsidR="001159FC" w:rsidRDefault="001159FC" w:rsidP="00B313CD">
      <w:pPr>
        <w:rPr>
          <w:b/>
          <w:shd w:val="clear" w:color="auto" w:fill="FFFFFF"/>
          <w:lang w:val="fr-CA"/>
        </w:rPr>
      </w:pPr>
    </w:p>
    <w:p w14:paraId="464A70AF" w14:textId="30D1B15B" w:rsidR="001159FC" w:rsidRDefault="001159FC" w:rsidP="00B313CD">
      <w:pPr>
        <w:rPr>
          <w:b/>
          <w:shd w:val="clear" w:color="auto" w:fill="FFFFFF"/>
          <w:lang w:val="fr-CA"/>
        </w:rPr>
      </w:pPr>
    </w:p>
    <w:p w14:paraId="778DCA58" w14:textId="15988D74" w:rsidR="001159FC" w:rsidRDefault="001159FC" w:rsidP="00B313CD">
      <w:pPr>
        <w:rPr>
          <w:b/>
          <w:shd w:val="clear" w:color="auto" w:fill="FFFFFF"/>
          <w:lang w:val="fr-CA"/>
        </w:rPr>
      </w:pPr>
    </w:p>
    <w:p w14:paraId="18775BCE" w14:textId="3609BE4F" w:rsidR="001159FC" w:rsidRDefault="001159FC" w:rsidP="00B313CD">
      <w:pPr>
        <w:rPr>
          <w:b/>
          <w:shd w:val="clear" w:color="auto" w:fill="FFFFFF"/>
          <w:lang w:val="fr-CA"/>
        </w:rPr>
      </w:pPr>
    </w:p>
    <w:p w14:paraId="2ED6B9B0" w14:textId="7E9E585F" w:rsidR="001159FC" w:rsidRDefault="001159FC" w:rsidP="00B313CD">
      <w:pPr>
        <w:rPr>
          <w:b/>
          <w:shd w:val="clear" w:color="auto" w:fill="FFFFFF"/>
          <w:lang w:val="fr-CA"/>
        </w:rPr>
      </w:pPr>
    </w:p>
    <w:p w14:paraId="1BB120A3" w14:textId="753DC4E2" w:rsidR="001159FC" w:rsidRDefault="001159FC" w:rsidP="00B313CD">
      <w:pPr>
        <w:rPr>
          <w:b/>
          <w:shd w:val="clear" w:color="auto" w:fill="FFFFFF"/>
          <w:lang w:val="fr-CA"/>
        </w:rPr>
      </w:pPr>
    </w:p>
    <w:p w14:paraId="5DB710BB" w14:textId="5309AEDF" w:rsidR="001159FC" w:rsidRDefault="001159FC" w:rsidP="00B313CD">
      <w:pPr>
        <w:rPr>
          <w:b/>
          <w:shd w:val="clear" w:color="auto" w:fill="FFFFFF"/>
          <w:lang w:val="fr-CA"/>
        </w:rPr>
      </w:pPr>
    </w:p>
    <w:p w14:paraId="35869228" w14:textId="06A1C6A7" w:rsidR="001159FC" w:rsidRDefault="001159FC" w:rsidP="00B313CD">
      <w:pPr>
        <w:rPr>
          <w:b/>
          <w:shd w:val="clear" w:color="auto" w:fill="FFFFFF"/>
          <w:lang w:val="fr-CA"/>
        </w:rPr>
      </w:pPr>
    </w:p>
    <w:p w14:paraId="074E980A" w14:textId="6D2B60EA" w:rsidR="001159FC" w:rsidRDefault="001159FC" w:rsidP="00B313CD">
      <w:pPr>
        <w:rPr>
          <w:b/>
          <w:shd w:val="clear" w:color="auto" w:fill="FFFFFF"/>
          <w:lang w:val="fr-CA"/>
        </w:rPr>
      </w:pPr>
    </w:p>
    <w:p w14:paraId="3431F46F" w14:textId="7B7B10E0" w:rsidR="001159FC" w:rsidRDefault="001159FC" w:rsidP="00B313CD">
      <w:pPr>
        <w:rPr>
          <w:b/>
          <w:shd w:val="clear" w:color="auto" w:fill="FFFFFF"/>
          <w:lang w:val="fr-CA"/>
        </w:rPr>
      </w:pPr>
    </w:p>
    <w:p w14:paraId="3B435750" w14:textId="21796E4F" w:rsidR="001159FC" w:rsidRDefault="001159FC" w:rsidP="00B313CD">
      <w:pPr>
        <w:rPr>
          <w:b/>
          <w:shd w:val="clear" w:color="auto" w:fill="FFFFFF"/>
          <w:lang w:val="fr-CA"/>
        </w:rPr>
      </w:pPr>
    </w:p>
    <w:p w14:paraId="4A8982CC" w14:textId="186BAB7F" w:rsidR="001159FC" w:rsidRDefault="001159FC" w:rsidP="00B313CD">
      <w:pPr>
        <w:rPr>
          <w:b/>
          <w:shd w:val="clear" w:color="auto" w:fill="FFFFFF"/>
          <w:lang w:val="fr-CA"/>
        </w:rPr>
      </w:pPr>
    </w:p>
    <w:p w14:paraId="759EE360" w14:textId="6B85DB93" w:rsidR="001159FC" w:rsidRDefault="001159FC" w:rsidP="00B313CD">
      <w:pPr>
        <w:rPr>
          <w:b/>
          <w:shd w:val="clear" w:color="auto" w:fill="FFFFFF"/>
          <w:lang w:val="fr-CA"/>
        </w:rPr>
      </w:pPr>
    </w:p>
    <w:p w14:paraId="0945806E" w14:textId="4A5CB056" w:rsidR="001159FC" w:rsidRDefault="001159FC" w:rsidP="00B313CD">
      <w:pPr>
        <w:rPr>
          <w:b/>
          <w:shd w:val="clear" w:color="auto" w:fill="FFFFFF"/>
          <w:lang w:val="fr-CA"/>
        </w:rPr>
      </w:pPr>
    </w:p>
    <w:p w14:paraId="60E5ABCE" w14:textId="65FCF27F" w:rsidR="001159FC" w:rsidRDefault="001159FC" w:rsidP="00B313CD">
      <w:pPr>
        <w:rPr>
          <w:b/>
          <w:shd w:val="clear" w:color="auto" w:fill="FFFFFF"/>
          <w:lang w:val="fr-CA"/>
        </w:rPr>
      </w:pPr>
    </w:p>
    <w:p w14:paraId="33EFEB39" w14:textId="161FB191" w:rsidR="001159FC" w:rsidRDefault="001159FC" w:rsidP="00B313CD">
      <w:pPr>
        <w:rPr>
          <w:b/>
          <w:shd w:val="clear" w:color="auto" w:fill="FFFFFF"/>
          <w:lang w:val="fr-CA"/>
        </w:rPr>
      </w:pPr>
    </w:p>
    <w:p w14:paraId="58EBC291" w14:textId="09F5D9FE" w:rsidR="001159FC" w:rsidRDefault="001159FC" w:rsidP="00B313CD">
      <w:pPr>
        <w:rPr>
          <w:b/>
          <w:shd w:val="clear" w:color="auto" w:fill="FFFFFF"/>
          <w:lang w:val="fr-CA"/>
        </w:rPr>
      </w:pPr>
    </w:p>
    <w:p w14:paraId="37B89BBF" w14:textId="403BCA40" w:rsidR="001159FC" w:rsidRDefault="001159FC" w:rsidP="00B313CD">
      <w:pPr>
        <w:rPr>
          <w:b/>
          <w:shd w:val="clear" w:color="auto" w:fill="FFFFFF"/>
          <w:lang w:val="fr-CA"/>
        </w:rPr>
      </w:pPr>
    </w:p>
    <w:p w14:paraId="50CAC740" w14:textId="0E4ABF77" w:rsidR="001159FC" w:rsidRDefault="001159FC" w:rsidP="00B313CD">
      <w:pPr>
        <w:rPr>
          <w:b/>
          <w:shd w:val="clear" w:color="auto" w:fill="FFFFFF"/>
          <w:lang w:val="fr-CA"/>
        </w:rPr>
      </w:pPr>
    </w:p>
    <w:p w14:paraId="649FEA35" w14:textId="65E8D303" w:rsidR="001159FC" w:rsidRDefault="001159FC" w:rsidP="00B313CD">
      <w:pPr>
        <w:rPr>
          <w:b/>
          <w:shd w:val="clear" w:color="auto" w:fill="FFFFFF"/>
          <w:lang w:val="fr-CA"/>
        </w:rPr>
      </w:pPr>
    </w:p>
    <w:p w14:paraId="2FF3F92D" w14:textId="3C2E7B53" w:rsidR="001159FC" w:rsidRDefault="001159FC" w:rsidP="00B313CD">
      <w:pPr>
        <w:rPr>
          <w:b/>
          <w:shd w:val="clear" w:color="auto" w:fill="FFFFFF"/>
          <w:lang w:val="fr-CA"/>
        </w:rPr>
      </w:pPr>
      <w:r>
        <w:rPr>
          <w:noProof/>
          <w:lang w:eastAsia="zh-CN"/>
        </w:rPr>
        <w:drawing>
          <wp:anchor distT="0" distB="0" distL="114300" distR="114300" simplePos="0" relativeHeight="251770880" behindDoc="0" locked="0" layoutInCell="1" allowOverlap="1" wp14:anchorId="124278C4" wp14:editId="17DA6DBA">
            <wp:simplePos x="0" y="0"/>
            <wp:positionH relativeFrom="column">
              <wp:posOffset>0</wp:posOffset>
            </wp:positionH>
            <wp:positionV relativeFrom="page">
              <wp:posOffset>533400</wp:posOffset>
            </wp:positionV>
            <wp:extent cx="6562725" cy="792480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6562725" cy="7924800"/>
                    </a:xfrm>
                    <a:prstGeom prst="rect">
                      <a:avLst/>
                    </a:prstGeom>
                  </pic:spPr>
                </pic:pic>
              </a:graphicData>
            </a:graphic>
          </wp:anchor>
        </w:drawing>
      </w:r>
    </w:p>
    <w:p w14:paraId="2BC66387" w14:textId="0B376D9E" w:rsidR="005A7299" w:rsidRDefault="005A7299" w:rsidP="00B313CD">
      <w:pPr>
        <w:rPr>
          <w:b/>
          <w:shd w:val="clear" w:color="auto" w:fill="FFFFFF"/>
          <w:lang w:val="fr-CA"/>
        </w:rPr>
      </w:pPr>
    </w:p>
    <w:p w14:paraId="10FD3AAD" w14:textId="5DC0AD87" w:rsidR="005A7299" w:rsidRDefault="005A7299" w:rsidP="00B313CD">
      <w:pPr>
        <w:rPr>
          <w:b/>
          <w:shd w:val="clear" w:color="auto" w:fill="FFFFFF"/>
          <w:lang w:val="fr-CA"/>
        </w:rPr>
      </w:pPr>
    </w:p>
    <w:p w14:paraId="43CDF41A" w14:textId="77777777" w:rsidR="005A7299" w:rsidRDefault="005A7299" w:rsidP="00B313CD">
      <w:pPr>
        <w:rPr>
          <w:b/>
          <w:shd w:val="clear" w:color="auto" w:fill="FFFFFF"/>
          <w:lang w:val="fr-CA"/>
        </w:rPr>
      </w:pPr>
    </w:p>
    <w:p w14:paraId="6D1B3B98" w14:textId="77777777" w:rsidR="00A978D9" w:rsidRDefault="00A978D9" w:rsidP="00B313CD">
      <w:pPr>
        <w:rPr>
          <w:b/>
          <w:shd w:val="clear" w:color="auto" w:fill="FFFFFF"/>
          <w:lang w:val="fr-CA"/>
        </w:rPr>
      </w:pPr>
    </w:p>
    <w:p w14:paraId="0CE209AA" w14:textId="77777777" w:rsidR="00A978D9" w:rsidRDefault="00A978D9" w:rsidP="00B313CD">
      <w:pPr>
        <w:rPr>
          <w:b/>
          <w:shd w:val="clear" w:color="auto" w:fill="FFFFFF"/>
          <w:lang w:val="fr-CA"/>
        </w:rPr>
      </w:pPr>
    </w:p>
    <w:p w14:paraId="5C508997" w14:textId="77777777" w:rsidR="00A978D9" w:rsidRDefault="00A978D9" w:rsidP="00B313CD">
      <w:pPr>
        <w:rPr>
          <w:b/>
          <w:shd w:val="clear" w:color="auto" w:fill="FFFFFF"/>
          <w:lang w:val="fr-CA"/>
        </w:rPr>
      </w:pPr>
    </w:p>
    <w:p w14:paraId="610FF0CC" w14:textId="288A4A49" w:rsidR="00C50406" w:rsidRDefault="00B313CD" w:rsidP="00B313CD">
      <w:pPr>
        <w:rPr>
          <w:b/>
          <w:shd w:val="clear" w:color="auto" w:fill="FFFFFF"/>
          <w:lang w:val="fr-CA"/>
        </w:rPr>
      </w:pPr>
      <w:r w:rsidRPr="00B12692">
        <w:rPr>
          <w:b/>
          <w:shd w:val="clear" w:color="auto" w:fill="FFFFFF"/>
          <w:lang w:val="fr-CA"/>
        </w:rPr>
        <w:t xml:space="preserve">Annexe </w:t>
      </w:r>
      <w:r w:rsidR="0056479B" w:rsidRPr="00B12692">
        <w:rPr>
          <w:b/>
          <w:shd w:val="clear" w:color="auto" w:fill="FFFFFF"/>
          <w:lang w:val="fr-CA"/>
        </w:rPr>
        <w:t>C</w:t>
      </w:r>
      <w:r w:rsidRPr="007936F0">
        <w:rPr>
          <w:b/>
          <w:shd w:val="clear" w:color="auto" w:fill="FFFFFF"/>
          <w:lang w:val="fr-CA"/>
        </w:rPr>
        <w:t xml:space="preserve"> - Cadre de droits d’accise </w:t>
      </w:r>
      <w:r w:rsidR="00C50406">
        <w:rPr>
          <w:b/>
          <w:shd w:val="clear" w:color="auto" w:fill="FFFFFF"/>
          <w:lang w:val="fr-CA"/>
        </w:rPr>
        <w:t>pour l’importation de produits de vapotage</w:t>
      </w:r>
    </w:p>
    <w:p w14:paraId="578064E8" w14:textId="19BAC1F2" w:rsidR="00B313CD" w:rsidRPr="007936F0" w:rsidRDefault="00C50406" w:rsidP="00B313CD">
      <w:pPr>
        <w:rPr>
          <w:b/>
          <w:shd w:val="clear" w:color="auto" w:fill="FFFFFF"/>
          <w:lang w:val="fr-CA"/>
        </w:rPr>
      </w:pPr>
      <w:r>
        <w:rPr>
          <w:b/>
          <w:shd w:val="clear" w:color="auto" w:fill="FFFFFF"/>
          <w:lang w:val="fr-CA"/>
        </w:rPr>
        <w:t>P</w:t>
      </w:r>
      <w:r w:rsidR="00B313CD" w:rsidRPr="007936F0">
        <w:rPr>
          <w:b/>
          <w:shd w:val="clear" w:color="auto" w:fill="FFFFFF"/>
          <w:lang w:val="fr-CA"/>
        </w:rPr>
        <w:t>roduits de vapotage non-</w:t>
      </w:r>
      <w:r w:rsidR="00B313CD" w:rsidRPr="007936F0">
        <w:rPr>
          <w:b/>
          <w:bCs/>
          <w:shd w:val="clear" w:color="auto" w:fill="FFFFFF"/>
          <w:lang w:val="fr-CA"/>
        </w:rPr>
        <w:t>emballés</w:t>
      </w:r>
      <w:r w:rsidR="00B313CD" w:rsidRPr="007936F0">
        <w:rPr>
          <w:b/>
          <w:shd w:val="clear" w:color="auto" w:fill="FFFFFF"/>
          <w:lang w:val="fr-CA"/>
        </w:rPr>
        <w:t> : version textuelle</w:t>
      </w:r>
    </w:p>
    <w:p w14:paraId="2903C373" w14:textId="77777777" w:rsidR="00B313CD" w:rsidRPr="007936F0" w:rsidRDefault="00B313CD" w:rsidP="00B313CD">
      <w:pPr>
        <w:shd w:val="clear" w:color="auto" w:fill="FFFFFF"/>
        <w:spacing w:before="390" w:after="173"/>
        <w:outlineLvl w:val="3"/>
        <w:rPr>
          <w:b/>
          <w:bCs/>
          <w:color w:val="333333"/>
          <w:lang w:val="fr-CA"/>
        </w:rPr>
      </w:pPr>
      <w:r w:rsidRPr="007936F0">
        <w:rPr>
          <w:b/>
          <w:bCs/>
          <w:color w:val="333333"/>
          <w:lang w:val="fr-CA"/>
        </w:rPr>
        <w:t>Licences et agréments — exigences</w:t>
      </w:r>
    </w:p>
    <w:p w14:paraId="106DD970" w14:textId="77777777" w:rsidR="00B313CD" w:rsidRPr="007936F0" w:rsidRDefault="00B313CD" w:rsidP="00CE70F3">
      <w:pPr>
        <w:pStyle w:val="ListParagraph"/>
        <w:widowControl w:val="0"/>
        <w:numPr>
          <w:ilvl w:val="0"/>
          <w:numId w:val="8"/>
        </w:numPr>
        <w:autoSpaceDE w:val="0"/>
        <w:autoSpaceDN w:val="0"/>
        <w:spacing w:before="36" w:after="0" w:line="300" w:lineRule="auto"/>
        <w:ind w:left="284" w:right="233" w:firstLine="0"/>
        <w:contextualSpacing w:val="0"/>
        <w:rPr>
          <w:lang w:val="fr-CA"/>
        </w:rPr>
      </w:pPr>
      <w:r w:rsidRPr="007936F0">
        <w:rPr>
          <w:lang w:val="fr-CA"/>
        </w:rPr>
        <w:t>Licence de produits de vapotage est requise</w:t>
      </w:r>
    </w:p>
    <w:p w14:paraId="613B5C2D" w14:textId="2CAF1EF5" w:rsidR="00B313CD" w:rsidRPr="007936F0" w:rsidRDefault="00B313CD" w:rsidP="00CE70F3">
      <w:pPr>
        <w:pStyle w:val="ListParagraph"/>
        <w:widowControl w:val="0"/>
        <w:numPr>
          <w:ilvl w:val="0"/>
          <w:numId w:val="8"/>
        </w:numPr>
        <w:autoSpaceDE w:val="0"/>
        <w:autoSpaceDN w:val="0"/>
        <w:spacing w:before="36" w:after="0" w:line="300" w:lineRule="auto"/>
        <w:ind w:left="284" w:right="233" w:firstLine="0"/>
        <w:contextualSpacing w:val="0"/>
        <w:rPr>
          <w:lang w:val="fr-CA"/>
        </w:rPr>
      </w:pPr>
      <w:r w:rsidRPr="007936F0">
        <w:rPr>
          <w:lang w:val="fr-CA"/>
        </w:rPr>
        <w:t>Inscription au régime d’estampillage des produits de vapotage est requise</w:t>
      </w:r>
    </w:p>
    <w:p w14:paraId="2B1816C8" w14:textId="77777777" w:rsidR="00B313CD" w:rsidRPr="00ED197E" w:rsidRDefault="00B313CD">
      <w:pPr>
        <w:pStyle w:val="Heading4"/>
      </w:pPr>
      <w:r w:rsidRPr="00ED197E">
        <w:t>Exigences d’estampillage</w:t>
      </w:r>
    </w:p>
    <w:p w14:paraId="562EAF3A" w14:textId="77777777" w:rsidR="00B313CD" w:rsidRPr="007936F0" w:rsidRDefault="00B313CD" w:rsidP="00CE70F3">
      <w:pPr>
        <w:widowControl w:val="0"/>
        <w:numPr>
          <w:ilvl w:val="0"/>
          <w:numId w:val="4"/>
        </w:numPr>
        <w:autoSpaceDE w:val="0"/>
        <w:autoSpaceDN w:val="0"/>
        <w:spacing w:before="12" w:after="0" w:line="295" w:lineRule="auto"/>
        <w:ind w:left="284" w:right="466" w:firstLine="0"/>
        <w:rPr>
          <w:lang w:val="fr-CA"/>
        </w:rPr>
      </w:pPr>
      <w:r w:rsidRPr="007936F0">
        <w:rPr>
          <w:lang w:val="fr-CA"/>
        </w:rPr>
        <w:t xml:space="preserve">Le </w:t>
      </w:r>
      <w:r w:rsidRPr="007936F0">
        <w:rPr>
          <w:spacing w:val="-4"/>
          <w:lang w:val="fr-CA"/>
        </w:rPr>
        <w:t xml:space="preserve">timbre </w:t>
      </w:r>
      <w:r w:rsidRPr="007936F0">
        <w:rPr>
          <w:spacing w:val="-3"/>
          <w:lang w:val="fr-CA"/>
        </w:rPr>
        <w:t xml:space="preserve">de </w:t>
      </w:r>
      <w:r w:rsidRPr="007936F0">
        <w:rPr>
          <w:lang w:val="fr-CA"/>
        </w:rPr>
        <w:t>vapotage n’est pas</w:t>
      </w:r>
      <w:r w:rsidRPr="007936F0">
        <w:rPr>
          <w:b/>
          <w:lang w:val="fr-CA"/>
        </w:rPr>
        <w:t xml:space="preserve"> </w:t>
      </w:r>
      <w:r w:rsidRPr="007936F0">
        <w:rPr>
          <w:spacing w:val="-4"/>
          <w:lang w:val="fr-CA"/>
        </w:rPr>
        <w:t xml:space="preserve">requis </w:t>
      </w:r>
      <w:r w:rsidRPr="007936F0">
        <w:rPr>
          <w:lang w:val="fr-CA"/>
        </w:rPr>
        <w:t xml:space="preserve">sur les </w:t>
      </w:r>
      <w:r w:rsidRPr="007936F0">
        <w:rPr>
          <w:spacing w:val="-5"/>
          <w:lang w:val="fr-CA"/>
        </w:rPr>
        <w:t xml:space="preserve">produits </w:t>
      </w:r>
      <w:r w:rsidRPr="007936F0">
        <w:rPr>
          <w:spacing w:val="-4"/>
          <w:lang w:val="fr-CA"/>
        </w:rPr>
        <w:t xml:space="preserve">non </w:t>
      </w:r>
      <w:r w:rsidRPr="007936F0">
        <w:rPr>
          <w:lang w:val="fr-CA"/>
        </w:rPr>
        <w:t xml:space="preserve">emballés </w:t>
      </w:r>
      <w:r w:rsidRPr="007936F0">
        <w:rPr>
          <w:spacing w:val="-4"/>
          <w:lang w:val="fr-CA"/>
        </w:rPr>
        <w:t xml:space="preserve">importés pour une </w:t>
      </w:r>
      <w:r w:rsidRPr="007936F0">
        <w:rPr>
          <w:lang w:val="fr-CA"/>
        </w:rPr>
        <w:t>étape</w:t>
      </w:r>
      <w:r w:rsidRPr="007936F0">
        <w:rPr>
          <w:spacing w:val="-22"/>
          <w:lang w:val="fr-CA"/>
        </w:rPr>
        <w:t xml:space="preserve"> </w:t>
      </w:r>
      <w:r w:rsidRPr="007936F0">
        <w:rPr>
          <w:spacing w:val="-3"/>
          <w:lang w:val="fr-CA"/>
        </w:rPr>
        <w:t xml:space="preserve">de fabrication </w:t>
      </w:r>
      <w:r w:rsidRPr="007936F0">
        <w:rPr>
          <w:spacing w:val="-5"/>
          <w:lang w:val="fr-CA"/>
        </w:rPr>
        <w:t xml:space="preserve">ultérieure </w:t>
      </w:r>
      <w:r w:rsidRPr="007936F0">
        <w:rPr>
          <w:spacing w:val="-3"/>
          <w:lang w:val="fr-CA"/>
        </w:rPr>
        <w:t>ou pour estampillage (le timbre de vapotage sera appos</w:t>
      </w:r>
      <w:r w:rsidRPr="007936F0">
        <w:rPr>
          <w:lang w:val="fr-CA"/>
        </w:rPr>
        <w:t>é</w:t>
      </w:r>
      <w:r w:rsidRPr="007936F0">
        <w:rPr>
          <w:spacing w:val="-3"/>
          <w:lang w:val="fr-CA"/>
        </w:rPr>
        <w:t xml:space="preserve"> au moment où les produits seront emballés par le titulaire de licence)</w:t>
      </w:r>
    </w:p>
    <w:p w14:paraId="5805233A" w14:textId="77777777" w:rsidR="00B313CD" w:rsidRPr="007936F0" w:rsidRDefault="00B313CD" w:rsidP="00CE70F3">
      <w:pPr>
        <w:widowControl w:val="0"/>
        <w:numPr>
          <w:ilvl w:val="0"/>
          <w:numId w:val="4"/>
        </w:numPr>
        <w:autoSpaceDE w:val="0"/>
        <w:autoSpaceDN w:val="0"/>
        <w:spacing w:after="0" w:line="304" w:lineRule="auto"/>
        <w:ind w:left="284" w:right="418" w:firstLine="0"/>
        <w:rPr>
          <w:lang w:val="fr-CA"/>
        </w:rPr>
      </w:pPr>
      <w:r w:rsidRPr="007936F0">
        <w:rPr>
          <w:lang w:val="fr-CA"/>
        </w:rPr>
        <w:t xml:space="preserve">Les </w:t>
      </w:r>
      <w:r w:rsidRPr="007936F0">
        <w:rPr>
          <w:spacing w:val="-5"/>
          <w:lang w:val="fr-CA"/>
        </w:rPr>
        <w:t xml:space="preserve">produits </w:t>
      </w:r>
      <w:r w:rsidRPr="007936F0">
        <w:rPr>
          <w:spacing w:val="-4"/>
          <w:lang w:val="fr-CA"/>
        </w:rPr>
        <w:t xml:space="preserve">non </w:t>
      </w:r>
      <w:r w:rsidRPr="007936F0">
        <w:rPr>
          <w:lang w:val="fr-CA"/>
        </w:rPr>
        <w:t xml:space="preserve">emballés </w:t>
      </w:r>
      <w:r w:rsidRPr="007936F0">
        <w:rPr>
          <w:spacing w:val="-3"/>
          <w:lang w:val="fr-CA"/>
        </w:rPr>
        <w:t xml:space="preserve">ne </w:t>
      </w:r>
      <w:r w:rsidRPr="007936F0">
        <w:rPr>
          <w:lang w:val="fr-CA"/>
        </w:rPr>
        <w:t xml:space="preserve">peuvent pas </w:t>
      </w:r>
      <w:r w:rsidRPr="007936F0">
        <w:rPr>
          <w:spacing w:val="-4"/>
          <w:lang w:val="fr-CA"/>
        </w:rPr>
        <w:t xml:space="preserve">être </w:t>
      </w:r>
      <w:r w:rsidRPr="007936F0">
        <w:rPr>
          <w:lang w:val="fr-CA"/>
        </w:rPr>
        <w:t xml:space="preserve">déposés dans </w:t>
      </w:r>
      <w:r w:rsidRPr="007936F0">
        <w:rPr>
          <w:spacing w:val="-3"/>
          <w:lang w:val="fr-CA"/>
        </w:rPr>
        <w:t xml:space="preserve">un </w:t>
      </w:r>
      <w:r w:rsidRPr="007936F0">
        <w:rPr>
          <w:spacing w:val="-4"/>
          <w:lang w:val="fr-CA"/>
        </w:rPr>
        <w:t xml:space="preserve">entrepôt </w:t>
      </w:r>
      <w:r w:rsidRPr="007936F0">
        <w:rPr>
          <w:lang w:val="fr-CA"/>
        </w:rPr>
        <w:t xml:space="preserve">d’accise; </w:t>
      </w:r>
      <w:r w:rsidRPr="007936F0">
        <w:rPr>
          <w:spacing w:val="-4"/>
          <w:lang w:val="fr-CA"/>
        </w:rPr>
        <w:t xml:space="preserve">ils </w:t>
      </w:r>
      <w:r w:rsidRPr="007936F0">
        <w:rPr>
          <w:lang w:val="fr-CA"/>
        </w:rPr>
        <w:t xml:space="preserve">doivent </w:t>
      </w:r>
      <w:r w:rsidRPr="007936F0">
        <w:rPr>
          <w:spacing w:val="-4"/>
          <w:lang w:val="fr-CA"/>
        </w:rPr>
        <w:t xml:space="preserve">être </w:t>
      </w:r>
      <w:r w:rsidRPr="007936F0">
        <w:rPr>
          <w:lang w:val="fr-CA"/>
        </w:rPr>
        <w:t>emballés et</w:t>
      </w:r>
      <w:r w:rsidRPr="007936F0">
        <w:rPr>
          <w:spacing w:val="3"/>
          <w:lang w:val="fr-CA"/>
        </w:rPr>
        <w:t xml:space="preserve"> </w:t>
      </w:r>
      <w:r w:rsidRPr="007936F0">
        <w:rPr>
          <w:spacing w:val="-3"/>
          <w:lang w:val="fr-CA"/>
        </w:rPr>
        <w:t>marqués</w:t>
      </w:r>
    </w:p>
    <w:p w14:paraId="58255C22" w14:textId="42EF2B00" w:rsidR="00B313CD" w:rsidRPr="00D14570" w:rsidRDefault="00B313CD">
      <w:pPr>
        <w:pStyle w:val="Heading4"/>
      </w:pPr>
      <w:r w:rsidRPr="000C5F67">
        <w:t>Droit sur le vapotage</w:t>
      </w:r>
      <w:r w:rsidR="00677EC2">
        <w:t xml:space="preserve"> et </w:t>
      </w:r>
      <w:r w:rsidR="00677EC2" w:rsidRPr="00D14570">
        <w:t xml:space="preserve">droit </w:t>
      </w:r>
      <w:r w:rsidR="00941439" w:rsidRPr="00D14570">
        <w:t>additionnel</w:t>
      </w:r>
      <w:r w:rsidR="00677EC2" w:rsidRPr="00D14570">
        <w:t xml:space="preserve"> sur le vapotage</w:t>
      </w:r>
    </w:p>
    <w:p w14:paraId="2C4C6C0E" w14:textId="518ECF5E" w:rsidR="00B313CD" w:rsidRPr="000C5F67" w:rsidRDefault="00B313CD" w:rsidP="00CE70F3">
      <w:pPr>
        <w:pStyle w:val="BodyText"/>
        <w:spacing w:after="160" w:line="255" w:lineRule="exact"/>
        <w:ind w:left="0"/>
        <w:rPr>
          <w:rFonts w:ascii="Arial" w:hAnsi="Arial" w:cs="Arial"/>
          <w:sz w:val="24"/>
          <w:szCs w:val="24"/>
        </w:rPr>
      </w:pPr>
      <w:r w:rsidRPr="00D14570">
        <w:rPr>
          <w:rFonts w:ascii="Arial" w:hAnsi="Arial" w:cs="Arial"/>
          <w:sz w:val="24"/>
          <w:szCs w:val="24"/>
        </w:rPr>
        <w:t xml:space="preserve">Droit sur le vapotage </w:t>
      </w:r>
      <w:r w:rsidR="00941439" w:rsidRPr="00D14570">
        <w:rPr>
          <w:rFonts w:ascii="Arial" w:hAnsi="Arial" w:cs="Arial"/>
          <w:sz w:val="24"/>
          <w:szCs w:val="24"/>
        </w:rPr>
        <w:t xml:space="preserve">et le </w:t>
      </w:r>
      <w:r w:rsidR="00677EC2" w:rsidRPr="00CE70F3">
        <w:rPr>
          <w:rFonts w:ascii="Arial" w:hAnsi="Arial" w:cs="Arial"/>
          <w:sz w:val="24"/>
          <w:szCs w:val="24"/>
          <w:lang w:val="fr-CA"/>
        </w:rPr>
        <w:t xml:space="preserve">droit </w:t>
      </w:r>
      <w:r w:rsidR="00677EC2" w:rsidRPr="00CE70F3">
        <w:rPr>
          <w:rFonts w:ascii="Arial" w:hAnsi="Arial" w:cs="Arial"/>
          <w:sz w:val="24"/>
          <w:szCs w:val="24"/>
          <w:lang w:val="fr-CA" w:bidi="en-US"/>
        </w:rPr>
        <w:t>additionnel</w:t>
      </w:r>
      <w:r w:rsidR="00677EC2" w:rsidRPr="00CE70F3">
        <w:rPr>
          <w:rFonts w:ascii="Arial" w:hAnsi="Arial" w:cs="Arial"/>
          <w:sz w:val="24"/>
          <w:szCs w:val="24"/>
          <w:lang w:val="fr-CA"/>
        </w:rPr>
        <w:t xml:space="preserve"> sur le vapotage</w:t>
      </w:r>
      <w:r w:rsidR="00941439" w:rsidRPr="000C5F67">
        <w:rPr>
          <w:rFonts w:ascii="Arial" w:hAnsi="Arial" w:cs="Arial"/>
          <w:sz w:val="24"/>
          <w:szCs w:val="24"/>
        </w:rPr>
        <w:t xml:space="preserve"> </w:t>
      </w:r>
      <w:r w:rsidR="00941439" w:rsidRPr="00CE70F3">
        <w:rPr>
          <w:rFonts w:ascii="Arial" w:hAnsi="Arial" w:cs="Arial"/>
          <w:b/>
          <w:sz w:val="24"/>
          <w:szCs w:val="24"/>
        </w:rPr>
        <w:t>sont</w:t>
      </w:r>
      <w:r w:rsidRPr="000C5F67">
        <w:rPr>
          <w:rFonts w:ascii="Arial" w:hAnsi="Arial" w:cs="Arial"/>
          <w:b/>
          <w:sz w:val="24"/>
          <w:szCs w:val="24"/>
        </w:rPr>
        <w:t xml:space="preserve"> exonéré</w:t>
      </w:r>
      <w:r w:rsidR="00941439" w:rsidRPr="000C5F67">
        <w:rPr>
          <w:rFonts w:ascii="Arial" w:hAnsi="Arial" w:cs="Arial"/>
          <w:b/>
          <w:sz w:val="24"/>
          <w:szCs w:val="24"/>
        </w:rPr>
        <w:t>s</w:t>
      </w:r>
      <w:r w:rsidRPr="000C5F67">
        <w:rPr>
          <w:rFonts w:ascii="Arial" w:hAnsi="Arial" w:cs="Arial"/>
          <w:sz w:val="24"/>
          <w:szCs w:val="24"/>
        </w:rPr>
        <w:t xml:space="preserve"> à l’importation (il</w:t>
      </w:r>
      <w:r w:rsidR="00941439" w:rsidRPr="000C5F67">
        <w:rPr>
          <w:rFonts w:ascii="Arial" w:hAnsi="Arial" w:cs="Arial"/>
          <w:sz w:val="24"/>
          <w:szCs w:val="24"/>
        </w:rPr>
        <w:t>s</w:t>
      </w:r>
      <w:r w:rsidRPr="000C5F67">
        <w:rPr>
          <w:rFonts w:ascii="Arial" w:hAnsi="Arial" w:cs="Arial"/>
          <w:sz w:val="24"/>
          <w:szCs w:val="24"/>
        </w:rPr>
        <w:t xml:space="preserve"> ser</w:t>
      </w:r>
      <w:r w:rsidR="00941439" w:rsidRPr="000C5F67">
        <w:rPr>
          <w:rFonts w:ascii="Arial" w:hAnsi="Arial" w:cs="Arial"/>
          <w:sz w:val="24"/>
          <w:szCs w:val="24"/>
        </w:rPr>
        <w:t>ont</w:t>
      </w:r>
      <w:r w:rsidRPr="000C5F67">
        <w:rPr>
          <w:rFonts w:ascii="Arial" w:hAnsi="Arial" w:cs="Arial"/>
          <w:sz w:val="24"/>
          <w:szCs w:val="24"/>
        </w:rPr>
        <w:t xml:space="preserve"> </w:t>
      </w:r>
      <w:r w:rsidR="00111067" w:rsidRPr="00CE70F3">
        <w:rPr>
          <w:rFonts w:ascii="Arial" w:hAnsi="Arial" w:cs="Arial"/>
          <w:sz w:val="24"/>
          <w:szCs w:val="24"/>
        </w:rPr>
        <w:t>payables à l’ARC</w:t>
      </w:r>
      <w:r w:rsidR="00111067" w:rsidRPr="000C5F67">
        <w:rPr>
          <w:rFonts w:ascii="Arial" w:hAnsi="Arial" w:cs="Arial"/>
          <w:sz w:val="24"/>
          <w:szCs w:val="24"/>
        </w:rPr>
        <w:t xml:space="preserve"> </w:t>
      </w:r>
      <w:r w:rsidRPr="000C5F67">
        <w:rPr>
          <w:rFonts w:ascii="Arial" w:hAnsi="Arial" w:cs="Arial"/>
          <w:sz w:val="24"/>
          <w:szCs w:val="24"/>
        </w:rPr>
        <w:t>lorsque les produits sont estampillés au Canada)</w:t>
      </w:r>
    </w:p>
    <w:p w14:paraId="0ADA178D" w14:textId="210F0285" w:rsidR="00B313CD" w:rsidRPr="00507C3B" w:rsidRDefault="00B313CD" w:rsidP="00CE70F3">
      <w:pPr>
        <w:pStyle w:val="BodyText"/>
        <w:spacing w:after="160" w:line="255" w:lineRule="exact"/>
        <w:ind w:left="0"/>
        <w:rPr>
          <w:rFonts w:ascii="Arial" w:hAnsi="Arial" w:cs="Arial"/>
          <w:sz w:val="24"/>
          <w:szCs w:val="24"/>
        </w:rPr>
      </w:pPr>
      <w:r w:rsidRPr="000C5F67">
        <w:rPr>
          <w:rFonts w:ascii="Arial" w:hAnsi="Arial" w:cs="Arial"/>
          <w:sz w:val="24"/>
          <w:szCs w:val="24"/>
        </w:rPr>
        <w:t>(voir Déclaration et déclaration en détail)</w:t>
      </w:r>
    </w:p>
    <w:p w14:paraId="6CB8D7F5" w14:textId="77777777" w:rsidR="009B0E73" w:rsidRDefault="009B0E73" w:rsidP="000A6694">
      <w:pPr>
        <w:pStyle w:val="Heading2"/>
      </w:pPr>
      <w:bookmarkStart w:id="79" w:name="_Références_[obligatoire]"/>
      <w:bookmarkEnd w:id="79"/>
    </w:p>
    <w:p w14:paraId="673C2A78" w14:textId="7AAD7D9D" w:rsidR="00182979" w:rsidRPr="00295A04" w:rsidRDefault="00445C65" w:rsidP="000A6694">
      <w:pPr>
        <w:pStyle w:val="Heading2"/>
      </w:pPr>
      <w:bookmarkStart w:id="80" w:name="_Références"/>
      <w:bookmarkEnd w:id="80"/>
      <w:r w:rsidRPr="00295A04">
        <w:t>Réfé</w:t>
      </w:r>
      <w:r w:rsidR="00461D8E" w:rsidRPr="00295A04">
        <w:t>rences</w:t>
      </w:r>
      <w:r w:rsidR="00182979" w:rsidRPr="00295A04">
        <w:t xml:space="preserve"> </w:t>
      </w:r>
    </w:p>
    <w:p w14:paraId="4267C693" w14:textId="22B5E041" w:rsidR="00165D75" w:rsidRPr="00295A04" w:rsidRDefault="00165D75" w:rsidP="00165D75">
      <w:pPr>
        <w:rPr>
          <w:lang w:val="fr-CA" w:eastAsia="en-CA"/>
        </w:rPr>
      </w:pPr>
      <w:r w:rsidRPr="00472E1E">
        <w:rPr>
          <w:lang w:val="fr-CA" w:eastAsia="en-CA"/>
        </w:rPr>
        <w:t>Consult</w:t>
      </w:r>
      <w:r w:rsidR="00295A04" w:rsidRPr="00472E1E">
        <w:rPr>
          <w:lang w:val="fr-CA" w:eastAsia="en-CA"/>
        </w:rPr>
        <w:t xml:space="preserve">ez ces ressources pour obtenir de plus amples renseignements. </w:t>
      </w:r>
    </w:p>
    <w:p w14:paraId="625DA7D0" w14:textId="335B7056" w:rsidR="00165D75" w:rsidRPr="00447EBA" w:rsidRDefault="00165D75" w:rsidP="007D6D16">
      <w:pPr>
        <w:pStyle w:val="Heading3"/>
      </w:pPr>
      <w:bookmarkStart w:id="81" w:name="_Législation_applicable"/>
      <w:bookmarkEnd w:id="81"/>
      <w:r w:rsidRPr="00447EBA">
        <w:t xml:space="preserve">Législation applicable </w:t>
      </w:r>
    </w:p>
    <w:p w14:paraId="7BB3EEB6" w14:textId="793C1C20" w:rsidR="00BD1775" w:rsidRPr="00BD1775" w:rsidRDefault="00804A82" w:rsidP="00034550">
      <w:pPr>
        <w:pStyle w:val="ListParagraph"/>
        <w:numPr>
          <w:ilvl w:val="0"/>
          <w:numId w:val="2"/>
        </w:numPr>
        <w:rPr>
          <w:i/>
          <w:sz w:val="20"/>
          <w:szCs w:val="20"/>
          <w:lang w:val="fr-CA"/>
        </w:rPr>
      </w:pPr>
      <w:hyperlink r:id="rId22">
        <w:r w:rsidR="00BD1775" w:rsidRPr="00BD1775">
          <w:rPr>
            <w:i/>
            <w:color w:val="0000FF"/>
            <w:u w:val="single" w:color="0000FF"/>
            <w:lang w:val="fr-CA"/>
          </w:rPr>
          <w:t>Loi canadienne sur la sécurité des produits de consommation</w:t>
        </w:r>
      </w:hyperlink>
    </w:p>
    <w:p w14:paraId="7794F3E0" w14:textId="77777777" w:rsidR="00B00364" w:rsidRPr="00B00364" w:rsidRDefault="00CE70F3" w:rsidP="00034550">
      <w:pPr>
        <w:pStyle w:val="ListParagraph"/>
        <w:numPr>
          <w:ilvl w:val="0"/>
          <w:numId w:val="2"/>
        </w:numPr>
        <w:rPr>
          <w:i/>
          <w:sz w:val="20"/>
          <w:szCs w:val="20"/>
          <w:lang w:val="fr-CA"/>
        </w:rPr>
      </w:pPr>
      <w:hyperlink r:id="rId23">
        <w:r w:rsidR="00BD1775" w:rsidRPr="00BD1775">
          <w:rPr>
            <w:i/>
            <w:color w:val="0000FF"/>
            <w:u w:val="single" w:color="0000FF"/>
            <w:lang w:val="fr-CA"/>
          </w:rPr>
          <w:t xml:space="preserve">Loi de 2001 </w:t>
        </w:r>
        <w:r w:rsidR="00BD1775" w:rsidRPr="00BD1775">
          <w:rPr>
            <w:i/>
            <w:color w:val="0000FF"/>
            <w:spacing w:val="-3"/>
            <w:u w:val="single" w:color="0000FF"/>
            <w:lang w:val="fr-CA"/>
          </w:rPr>
          <w:t xml:space="preserve">sur </w:t>
        </w:r>
        <w:r w:rsidR="00BD1775" w:rsidRPr="00BD1775">
          <w:rPr>
            <w:i/>
            <w:color w:val="0000FF"/>
            <w:u w:val="single" w:color="0000FF"/>
            <w:lang w:val="fr-CA"/>
          </w:rPr>
          <w:t>l’accise</w:t>
        </w:r>
      </w:hyperlink>
    </w:p>
    <w:p w14:paraId="40D9AD56" w14:textId="0C2160A0" w:rsidR="00BD1775" w:rsidRPr="00BD1775" w:rsidRDefault="00CE70F3" w:rsidP="00034550">
      <w:pPr>
        <w:pStyle w:val="ListParagraph"/>
        <w:numPr>
          <w:ilvl w:val="0"/>
          <w:numId w:val="2"/>
        </w:numPr>
        <w:rPr>
          <w:i/>
          <w:sz w:val="20"/>
          <w:szCs w:val="20"/>
          <w:lang w:val="fr-CA"/>
        </w:rPr>
      </w:pPr>
      <w:hyperlink r:id="rId24">
        <w:r w:rsidR="00BD1775" w:rsidRPr="00BD1775">
          <w:rPr>
            <w:i/>
            <w:color w:val="0000FF"/>
            <w:u w:val="single" w:color="0000FF"/>
            <w:lang w:val="fr-CA"/>
          </w:rPr>
          <w:t xml:space="preserve">Loi </w:t>
        </w:r>
        <w:r w:rsidR="00BD1775" w:rsidRPr="00BD1775">
          <w:rPr>
            <w:i/>
            <w:color w:val="0000FF"/>
            <w:spacing w:val="-3"/>
            <w:u w:val="single" w:color="0000FF"/>
            <w:lang w:val="fr-CA"/>
          </w:rPr>
          <w:t xml:space="preserve">sur </w:t>
        </w:r>
        <w:r w:rsidR="00BD1775" w:rsidRPr="00BD1775">
          <w:rPr>
            <w:i/>
            <w:color w:val="0000FF"/>
            <w:u w:val="single" w:color="0000FF"/>
            <w:lang w:val="fr-CA"/>
          </w:rPr>
          <w:t>la taxe d’accise</w:t>
        </w:r>
      </w:hyperlink>
    </w:p>
    <w:p w14:paraId="79DB8166" w14:textId="55E6CC65" w:rsidR="00BD1775" w:rsidRPr="00BD1775" w:rsidRDefault="00804A82" w:rsidP="00034550">
      <w:pPr>
        <w:pStyle w:val="ListParagraph"/>
        <w:numPr>
          <w:ilvl w:val="0"/>
          <w:numId w:val="2"/>
        </w:numPr>
        <w:rPr>
          <w:i/>
          <w:sz w:val="20"/>
          <w:szCs w:val="20"/>
          <w:lang w:val="fr-CA"/>
        </w:rPr>
      </w:pPr>
      <w:hyperlink r:id="rId25">
        <w:r w:rsidR="00BD1775" w:rsidRPr="00BD1775">
          <w:rPr>
            <w:i/>
            <w:color w:val="0000FF"/>
            <w:u w:val="single" w:color="0000FF"/>
            <w:lang w:val="fr-CA"/>
          </w:rPr>
          <w:t>Loi sur les aliments et drogues</w:t>
        </w:r>
      </w:hyperlink>
    </w:p>
    <w:p w14:paraId="750018FE" w14:textId="265D452C" w:rsidR="00BD1775" w:rsidRPr="00BD1775" w:rsidRDefault="00CE70F3" w:rsidP="00034550">
      <w:pPr>
        <w:pStyle w:val="ListParagraph"/>
        <w:numPr>
          <w:ilvl w:val="0"/>
          <w:numId w:val="2"/>
        </w:numPr>
        <w:rPr>
          <w:i/>
          <w:sz w:val="20"/>
          <w:szCs w:val="20"/>
          <w:lang w:val="fr-CA"/>
        </w:rPr>
      </w:pPr>
      <w:hyperlink r:id="rId26">
        <w:r w:rsidR="00BD1775" w:rsidRPr="00BD1775">
          <w:rPr>
            <w:i/>
            <w:color w:val="0000FF"/>
            <w:u w:val="single" w:color="0000FF"/>
          </w:rPr>
          <w:t>Loi sur les douanes</w:t>
        </w:r>
      </w:hyperlink>
    </w:p>
    <w:p w14:paraId="1FCBBAB1" w14:textId="5212D25A" w:rsidR="00BD1775" w:rsidRPr="00BD1775" w:rsidRDefault="00804A82" w:rsidP="00034550">
      <w:pPr>
        <w:pStyle w:val="ListParagraph"/>
        <w:numPr>
          <w:ilvl w:val="0"/>
          <w:numId w:val="2"/>
        </w:numPr>
        <w:rPr>
          <w:i/>
          <w:sz w:val="20"/>
          <w:szCs w:val="20"/>
          <w:lang w:val="fr-CA"/>
        </w:rPr>
      </w:pPr>
      <w:hyperlink r:id="rId27">
        <w:r w:rsidR="00BD1775" w:rsidRPr="00BD1775">
          <w:rPr>
            <w:i/>
            <w:color w:val="0000FF"/>
            <w:u w:val="single" w:color="0000FF"/>
            <w:lang w:val="fr-CA"/>
          </w:rPr>
          <w:t>Loi sur les mesures spéciales d’importation</w:t>
        </w:r>
      </w:hyperlink>
    </w:p>
    <w:p w14:paraId="65C5D9DC" w14:textId="3182387A" w:rsidR="00BD1775" w:rsidRPr="00BD1775" w:rsidRDefault="00804A82" w:rsidP="00034550">
      <w:pPr>
        <w:pStyle w:val="ListParagraph"/>
        <w:numPr>
          <w:ilvl w:val="0"/>
          <w:numId w:val="2"/>
        </w:numPr>
        <w:rPr>
          <w:i/>
          <w:sz w:val="20"/>
          <w:szCs w:val="20"/>
          <w:lang w:val="fr-CA"/>
        </w:rPr>
      </w:pPr>
      <w:hyperlink r:id="rId28">
        <w:r w:rsidR="00BD1775" w:rsidRPr="00BD1775">
          <w:rPr>
            <w:i/>
            <w:color w:val="0000FF"/>
            <w:u w:val="single" w:color="0000FF"/>
            <w:lang w:val="fr-CA"/>
          </w:rPr>
          <w:t>Loi sur les missions étrangères et les organisations</w:t>
        </w:r>
      </w:hyperlink>
      <w:r w:rsidR="00BD1775" w:rsidRPr="00BD1775">
        <w:rPr>
          <w:i/>
          <w:color w:val="0000FF"/>
          <w:lang w:val="fr-CA"/>
        </w:rPr>
        <w:t xml:space="preserve"> </w:t>
      </w:r>
      <w:hyperlink r:id="rId29">
        <w:r w:rsidR="00BD1775" w:rsidRPr="00BD1775">
          <w:rPr>
            <w:i/>
            <w:color w:val="0000FF"/>
            <w:u w:val="single" w:color="0000FF"/>
            <w:lang w:val="fr-CA"/>
          </w:rPr>
          <w:t>internationales</w:t>
        </w:r>
      </w:hyperlink>
    </w:p>
    <w:p w14:paraId="7243CAA6" w14:textId="61C2013D" w:rsidR="00BD1775" w:rsidRPr="00BD1775" w:rsidRDefault="00804A82" w:rsidP="00034550">
      <w:pPr>
        <w:pStyle w:val="ListParagraph"/>
        <w:numPr>
          <w:ilvl w:val="0"/>
          <w:numId w:val="2"/>
        </w:numPr>
        <w:rPr>
          <w:i/>
          <w:sz w:val="20"/>
          <w:szCs w:val="20"/>
          <w:lang w:val="fr-CA"/>
        </w:rPr>
      </w:pPr>
      <w:hyperlink r:id="rId30">
        <w:r w:rsidR="00BD1775" w:rsidRPr="00BD1775">
          <w:rPr>
            <w:i/>
            <w:color w:val="0000FF"/>
            <w:u w:val="single" w:color="0000FF"/>
            <w:lang w:val="fr-CA"/>
          </w:rPr>
          <w:t>Loi sur le tabac et les produits de vapotage</w:t>
        </w:r>
      </w:hyperlink>
    </w:p>
    <w:p w14:paraId="2DC23A91" w14:textId="0BE715AF" w:rsidR="00BD1775" w:rsidRPr="00BD1775" w:rsidRDefault="00804A82" w:rsidP="00034550">
      <w:pPr>
        <w:pStyle w:val="ListParagraph"/>
        <w:numPr>
          <w:ilvl w:val="0"/>
          <w:numId w:val="2"/>
        </w:numPr>
        <w:rPr>
          <w:i/>
          <w:sz w:val="20"/>
          <w:szCs w:val="20"/>
          <w:lang w:val="fr-CA"/>
        </w:rPr>
      </w:pPr>
      <w:hyperlink r:id="rId31">
        <w:r w:rsidR="00BD1775" w:rsidRPr="00BD1775">
          <w:rPr>
            <w:i/>
            <w:color w:val="0000FF"/>
            <w:u w:val="single" w:color="0000FF"/>
            <w:lang w:val="fr-CA"/>
          </w:rPr>
          <w:t>Règlement sur la possession de produits du tabac, du cannabis</w:t>
        </w:r>
      </w:hyperlink>
      <w:r w:rsidR="00BD1775" w:rsidRPr="00BD1775">
        <w:rPr>
          <w:i/>
          <w:color w:val="0000FF"/>
          <w:lang w:val="fr-CA"/>
        </w:rPr>
        <w:t xml:space="preserve"> </w:t>
      </w:r>
      <w:hyperlink r:id="rId32">
        <w:r w:rsidR="00BD1775" w:rsidRPr="00BD1775">
          <w:rPr>
            <w:i/>
            <w:color w:val="0000FF"/>
            <w:u w:val="single" w:color="0000FF"/>
            <w:lang w:val="fr-CA"/>
          </w:rPr>
          <w:t>ou de vapotage non estampillés</w:t>
        </w:r>
      </w:hyperlink>
    </w:p>
    <w:p w14:paraId="0F4D94AF" w14:textId="418FBC9D" w:rsidR="00BD1775" w:rsidRPr="00BD1775" w:rsidRDefault="00804A82" w:rsidP="00034550">
      <w:pPr>
        <w:pStyle w:val="ListParagraph"/>
        <w:numPr>
          <w:ilvl w:val="0"/>
          <w:numId w:val="2"/>
        </w:numPr>
        <w:rPr>
          <w:i/>
          <w:sz w:val="20"/>
          <w:szCs w:val="20"/>
          <w:lang w:val="fr-CA"/>
        </w:rPr>
      </w:pPr>
      <w:hyperlink r:id="rId33">
        <w:r w:rsidR="00BD1775" w:rsidRPr="00BD1775">
          <w:rPr>
            <w:i/>
            <w:color w:val="0000FF"/>
            <w:u w:val="single" w:color="0000FF"/>
            <w:lang w:val="fr-CA"/>
          </w:rPr>
          <w:t>Règlement sur les aliments et drogues</w:t>
        </w:r>
      </w:hyperlink>
    </w:p>
    <w:p w14:paraId="777939E4" w14:textId="77777777" w:rsidR="00BD1775" w:rsidRPr="00BD1775" w:rsidRDefault="00804A82" w:rsidP="00034550">
      <w:pPr>
        <w:pStyle w:val="ListParagraph"/>
        <w:numPr>
          <w:ilvl w:val="0"/>
          <w:numId w:val="2"/>
        </w:numPr>
        <w:rPr>
          <w:i/>
          <w:sz w:val="20"/>
          <w:szCs w:val="20"/>
          <w:lang w:val="fr-CA"/>
        </w:rPr>
      </w:pPr>
      <w:hyperlink r:id="rId34">
        <w:r w:rsidR="00BD1775" w:rsidRPr="00BD1775">
          <w:rPr>
            <w:i/>
            <w:color w:val="0000FF"/>
            <w:u w:val="single" w:color="0000FF"/>
            <w:lang w:val="fr-CA"/>
          </w:rPr>
          <w:t xml:space="preserve">Règlement </w:t>
        </w:r>
        <w:r w:rsidR="00BD1775" w:rsidRPr="00BD1775">
          <w:rPr>
            <w:i/>
            <w:color w:val="0000FF"/>
            <w:spacing w:val="-3"/>
            <w:u w:val="single" w:color="0000FF"/>
            <w:lang w:val="fr-CA"/>
          </w:rPr>
          <w:t xml:space="preserve">sur </w:t>
        </w:r>
        <w:r w:rsidR="00BD1775" w:rsidRPr="00BD1775">
          <w:rPr>
            <w:i/>
            <w:color w:val="0000FF"/>
            <w:u w:val="single" w:color="0000FF"/>
            <w:lang w:val="fr-CA"/>
          </w:rPr>
          <w:t>les entrepôts d’attente des douanes</w:t>
        </w:r>
      </w:hyperlink>
      <w:r w:rsidR="00BD1775" w:rsidRPr="00BD1775">
        <w:rPr>
          <w:i/>
          <w:color w:val="0000FF"/>
          <w:lang w:val="fr-CA"/>
        </w:rPr>
        <w:t xml:space="preserve"> </w:t>
      </w:r>
    </w:p>
    <w:p w14:paraId="2E4DC668" w14:textId="00AEC6B5" w:rsidR="00BD1775" w:rsidRPr="00BD1775" w:rsidRDefault="00804A82" w:rsidP="00034550">
      <w:pPr>
        <w:pStyle w:val="ListParagraph"/>
        <w:numPr>
          <w:ilvl w:val="0"/>
          <w:numId w:val="2"/>
        </w:numPr>
        <w:rPr>
          <w:i/>
          <w:sz w:val="20"/>
          <w:szCs w:val="20"/>
          <w:lang w:val="fr-CA"/>
        </w:rPr>
      </w:pPr>
      <w:hyperlink r:id="rId35">
        <w:r w:rsidR="00BD1775" w:rsidRPr="00BD1775">
          <w:rPr>
            <w:i/>
            <w:color w:val="0000FF"/>
            <w:u w:val="single" w:color="0000FF"/>
            <w:lang w:val="fr-CA"/>
          </w:rPr>
          <w:t xml:space="preserve">Règlement </w:t>
        </w:r>
        <w:r w:rsidR="00BD1775" w:rsidRPr="00BD1775">
          <w:rPr>
            <w:i/>
            <w:color w:val="0000FF"/>
            <w:spacing w:val="-3"/>
            <w:u w:val="single" w:color="0000FF"/>
            <w:lang w:val="fr-CA"/>
          </w:rPr>
          <w:t xml:space="preserve">sur </w:t>
        </w:r>
        <w:r w:rsidR="00BD1775" w:rsidRPr="00BD1775">
          <w:rPr>
            <w:i/>
            <w:color w:val="0000FF"/>
            <w:u w:val="single" w:color="0000FF"/>
            <w:lang w:val="fr-CA"/>
          </w:rPr>
          <w:t>l’estampillage et le marquage des produits du</w:t>
        </w:r>
      </w:hyperlink>
      <w:r w:rsidR="00BD1775" w:rsidRPr="00BD1775">
        <w:rPr>
          <w:i/>
          <w:color w:val="0000FF"/>
          <w:lang w:val="fr-CA"/>
        </w:rPr>
        <w:t xml:space="preserve"> </w:t>
      </w:r>
      <w:hyperlink r:id="rId36">
        <w:r w:rsidR="00BD1775" w:rsidRPr="00BD1775">
          <w:rPr>
            <w:i/>
            <w:color w:val="0000FF"/>
            <w:u w:val="single" w:color="0000FF"/>
            <w:lang w:val="fr-CA"/>
          </w:rPr>
          <w:t>tabac, du cannabis et de</w:t>
        </w:r>
        <w:r w:rsidR="00BD1775" w:rsidRPr="00BD1775">
          <w:rPr>
            <w:i/>
            <w:color w:val="0000FF"/>
            <w:spacing w:val="-36"/>
            <w:u w:val="single" w:color="0000FF"/>
            <w:lang w:val="fr-CA"/>
          </w:rPr>
          <w:t xml:space="preserve"> </w:t>
        </w:r>
        <w:r w:rsidR="00BD1775" w:rsidRPr="00BD1775">
          <w:rPr>
            <w:i/>
            <w:color w:val="0000FF"/>
            <w:u w:val="single" w:color="0000FF"/>
            <w:lang w:val="fr-CA"/>
          </w:rPr>
          <w:t>vapotage</w:t>
        </w:r>
      </w:hyperlink>
    </w:p>
    <w:p w14:paraId="78C14C89" w14:textId="295AAB66" w:rsidR="00BD1775" w:rsidRPr="00BD1775" w:rsidRDefault="00804A82" w:rsidP="00034550">
      <w:pPr>
        <w:pStyle w:val="ListParagraph"/>
        <w:numPr>
          <w:ilvl w:val="0"/>
          <w:numId w:val="2"/>
        </w:numPr>
        <w:rPr>
          <w:i/>
          <w:sz w:val="20"/>
          <w:szCs w:val="20"/>
          <w:lang w:val="fr-CA"/>
        </w:rPr>
      </w:pPr>
      <w:hyperlink r:id="rId37">
        <w:r w:rsidR="00BD1775" w:rsidRPr="00BD1775">
          <w:rPr>
            <w:i/>
            <w:color w:val="0000FF"/>
            <w:u w:val="single" w:color="0000FF"/>
            <w:lang w:val="fr-CA"/>
          </w:rPr>
          <w:t>Règlement sur l’importation temporaire de bagages et de</w:t>
        </w:r>
      </w:hyperlink>
      <w:r w:rsidR="00BD1775" w:rsidRPr="00BD1775">
        <w:rPr>
          <w:i/>
          <w:color w:val="0000FF"/>
          <w:lang w:val="fr-CA"/>
        </w:rPr>
        <w:t xml:space="preserve"> </w:t>
      </w:r>
      <w:hyperlink r:id="rId38">
        <w:r w:rsidR="00BD1775" w:rsidRPr="00BD1775">
          <w:rPr>
            <w:i/>
            <w:color w:val="0000FF"/>
            <w:u w:val="single" w:color="0000FF"/>
            <w:lang w:val="fr-CA"/>
          </w:rPr>
          <w:t>moyens de transport par un non-résident</w:t>
        </w:r>
      </w:hyperlink>
    </w:p>
    <w:p w14:paraId="2D33179C" w14:textId="2AA20BEC" w:rsidR="00BD1775" w:rsidRPr="00472E1E" w:rsidRDefault="00CE70F3" w:rsidP="00034550">
      <w:pPr>
        <w:pStyle w:val="ListParagraph"/>
        <w:numPr>
          <w:ilvl w:val="0"/>
          <w:numId w:val="2"/>
        </w:numPr>
        <w:rPr>
          <w:i/>
          <w:sz w:val="20"/>
          <w:szCs w:val="20"/>
          <w:lang w:val="fr-CA"/>
        </w:rPr>
      </w:pPr>
      <w:hyperlink r:id="rId39">
        <w:r w:rsidR="00BD1775">
          <w:rPr>
            <w:i/>
            <w:color w:val="0000FF"/>
            <w:u w:val="single" w:color="0000FF"/>
          </w:rPr>
          <w:t>Tarif des douanes</w:t>
        </w:r>
      </w:hyperlink>
    </w:p>
    <w:p w14:paraId="22723AD2" w14:textId="77777777" w:rsidR="00BF6306" w:rsidRPr="007C4EFF" w:rsidRDefault="00BF6306" w:rsidP="007D6D16">
      <w:pPr>
        <w:pStyle w:val="Heading3"/>
      </w:pPr>
      <w:bookmarkStart w:id="82" w:name="_Mémorandum(s)_précédent(s)"/>
      <w:bookmarkEnd w:id="82"/>
      <w:r w:rsidRPr="007C4EFF">
        <w:t xml:space="preserve">Mémorandum(s) précédent(s) </w:t>
      </w:r>
    </w:p>
    <w:p w14:paraId="6542AE93" w14:textId="6CDB1A17" w:rsidR="00303146" w:rsidRPr="00472E1E" w:rsidRDefault="00025C0F" w:rsidP="00012F9F">
      <w:pPr>
        <w:pStyle w:val="ListParagraph"/>
        <w:numPr>
          <w:ilvl w:val="0"/>
          <w:numId w:val="3"/>
        </w:numPr>
        <w:rPr>
          <w:lang w:val="fr-CA" w:eastAsia="en-CA"/>
        </w:rPr>
      </w:pPr>
      <w:r>
        <w:rPr>
          <w:lang w:val="fr-CA" w:eastAsia="en-CA"/>
        </w:rPr>
        <w:t>D18-3-</w:t>
      </w:r>
      <w:r w:rsidR="00B313CD">
        <w:rPr>
          <w:lang w:val="fr-CA" w:eastAsia="en-CA"/>
        </w:rPr>
        <w:t>2</w:t>
      </w:r>
      <w:r>
        <w:rPr>
          <w:lang w:val="fr-CA" w:eastAsia="en-CA"/>
        </w:rPr>
        <w:t xml:space="preserve"> le </w:t>
      </w:r>
      <w:r w:rsidR="00012F9F" w:rsidRPr="00012F9F">
        <w:rPr>
          <w:lang w:val="fr-CA" w:eastAsia="en-CA"/>
        </w:rPr>
        <w:t>2 février 2024</w:t>
      </w:r>
    </w:p>
    <w:p w14:paraId="33DC6417" w14:textId="701299DE" w:rsidR="003A044A" w:rsidRPr="00636C50" w:rsidRDefault="00234D35" w:rsidP="007D6D16">
      <w:pPr>
        <w:pStyle w:val="Heading3"/>
      </w:pPr>
      <w:bookmarkStart w:id="83" w:name="_Bureau_de_diffusion"/>
      <w:bookmarkEnd w:id="83"/>
      <w:r w:rsidRPr="00636C50">
        <w:t>Bureau de diffusion</w:t>
      </w:r>
      <w:r w:rsidR="003A044A" w:rsidRPr="00636C50">
        <w:t xml:space="preserve"> </w:t>
      </w:r>
    </w:p>
    <w:p w14:paraId="555912FA" w14:textId="32922317" w:rsidR="00BF6306" w:rsidRPr="00295A04" w:rsidRDefault="00025C0F" w:rsidP="00B3754B">
      <w:pPr>
        <w:rPr>
          <w:rFonts w:ascii="Helvetica" w:hAnsi="Helvetica" w:cs="Helvetica"/>
          <w:color w:val="333333"/>
          <w:shd w:val="clear" w:color="auto" w:fill="FFFFFF"/>
          <w:lang w:val="fr-CA"/>
        </w:rPr>
      </w:pPr>
      <w:r w:rsidRPr="00025C0F">
        <w:rPr>
          <w:rFonts w:ascii="Helvetica" w:hAnsi="Helvetica" w:cs="Helvetica"/>
          <w:color w:val="333333"/>
          <w:shd w:val="clear" w:color="auto" w:fill="FFFFFF"/>
          <w:lang w:val="fr-CA"/>
        </w:rPr>
        <w:t>Division des politiques commerciales</w:t>
      </w:r>
      <w:r w:rsidR="00B3754B" w:rsidRPr="00295A04">
        <w:rPr>
          <w:rFonts w:ascii="Helvetica" w:hAnsi="Helvetica" w:cs="Helvetica"/>
          <w:color w:val="333333"/>
          <w:lang w:val="fr-CA"/>
        </w:rPr>
        <w:br/>
      </w:r>
      <w:r w:rsidRPr="00025C0F">
        <w:rPr>
          <w:rFonts w:ascii="Helvetica" w:hAnsi="Helvetica" w:cs="Helvetica"/>
          <w:color w:val="333333"/>
          <w:shd w:val="clear" w:color="auto" w:fill="FFFFFF"/>
          <w:lang w:val="fr-CA"/>
        </w:rPr>
        <w:t>Direction des programmes commerciaux et antidumping</w:t>
      </w:r>
      <w:r w:rsidR="00B3754B" w:rsidRPr="00295A04">
        <w:rPr>
          <w:rFonts w:ascii="Helvetica" w:hAnsi="Helvetica" w:cs="Helvetica"/>
          <w:color w:val="333333"/>
          <w:lang w:val="fr-CA"/>
        </w:rPr>
        <w:br/>
      </w:r>
      <w:r w:rsidRPr="00025C0F">
        <w:rPr>
          <w:rFonts w:ascii="Helvetica" w:hAnsi="Helvetica" w:cs="Helvetica"/>
          <w:color w:val="333333"/>
          <w:shd w:val="clear" w:color="auto" w:fill="FFFFFF"/>
          <w:lang w:val="fr-CA"/>
        </w:rPr>
        <w:t>Direction générale du secteur commercial et des échanges commerciaux</w:t>
      </w:r>
    </w:p>
    <w:p w14:paraId="44E248C3" w14:textId="727910EE" w:rsidR="00B3754B" w:rsidRPr="00295A04" w:rsidRDefault="00445C65" w:rsidP="000A6694">
      <w:pPr>
        <w:pStyle w:val="Heading2"/>
      </w:pPr>
      <w:bookmarkStart w:id="84" w:name="_Contact_information"/>
      <w:bookmarkEnd w:id="84"/>
      <w:r w:rsidRPr="00295A04">
        <w:t>Communiquer avec nous</w:t>
      </w:r>
    </w:p>
    <w:p w14:paraId="34EA081E" w14:textId="78C0317B" w:rsidR="009C7FD4" w:rsidRPr="00295A04" w:rsidRDefault="00804A82" w:rsidP="009C7FD4">
      <w:pPr>
        <w:rPr>
          <w:b/>
          <w:lang w:val="fr-CA"/>
        </w:rPr>
      </w:pPr>
      <w:hyperlink r:id="rId40" w:history="1">
        <w:r w:rsidR="009C7FD4" w:rsidRPr="00295A04">
          <w:rPr>
            <w:rStyle w:val="Hyperlink"/>
            <w:lang w:val="fr-CA"/>
          </w:rPr>
          <w:t>Communiquer avec le service d'information sur la frontière</w:t>
        </w:r>
      </w:hyperlink>
    </w:p>
    <w:p w14:paraId="0059487C" w14:textId="77777777" w:rsidR="00AC13D2" w:rsidRDefault="00AC13D2" w:rsidP="000A6694">
      <w:pPr>
        <w:pStyle w:val="Heading2"/>
      </w:pPr>
      <w:bookmarkStart w:id="85" w:name="Lienscommexes"/>
    </w:p>
    <w:p w14:paraId="36F2D2C1" w14:textId="4C51FCBA" w:rsidR="00B3754B" w:rsidRPr="00295A04" w:rsidRDefault="00EC3C42" w:rsidP="000A6694">
      <w:pPr>
        <w:pStyle w:val="Heading2"/>
      </w:pPr>
      <w:r w:rsidRPr="00295A04">
        <w:t>Liens</w:t>
      </w:r>
      <w:r w:rsidR="00445C65" w:rsidRPr="00295A04">
        <w:t xml:space="preserve"> connexes</w:t>
      </w:r>
      <w:bookmarkEnd w:id="85"/>
      <w:r w:rsidR="00B3754B" w:rsidRPr="00295A04">
        <w:t xml:space="preserve"> </w:t>
      </w:r>
    </w:p>
    <w:p w14:paraId="54171DBE" w14:textId="77777777" w:rsidR="00576591" w:rsidRPr="00712DC9" w:rsidRDefault="00804A82" w:rsidP="00576591">
      <w:pPr>
        <w:pStyle w:val="ListParagraph"/>
        <w:numPr>
          <w:ilvl w:val="0"/>
          <w:numId w:val="3"/>
        </w:numPr>
        <w:rPr>
          <w:i/>
          <w:lang w:val="fr-CA" w:eastAsia="en-CA"/>
        </w:rPr>
      </w:pPr>
      <w:hyperlink r:id="rId41" w:history="1">
        <w:r w:rsidR="00576591" w:rsidRPr="00712DC9">
          <w:rPr>
            <w:rStyle w:val="Hyperlink"/>
            <w:i/>
            <w:lang w:val="fr-CA"/>
          </w:rPr>
          <w:t>Mémorandum D1-2-1 - Services spéciaux (cbsa-asfc.gc.ca)</w:t>
        </w:r>
      </w:hyperlink>
    </w:p>
    <w:p w14:paraId="15DCF3EB" w14:textId="77777777" w:rsidR="00576591" w:rsidRPr="00712DC9" w:rsidRDefault="00804A82" w:rsidP="00576591">
      <w:pPr>
        <w:pStyle w:val="ListParagraph"/>
        <w:numPr>
          <w:ilvl w:val="0"/>
          <w:numId w:val="3"/>
        </w:numPr>
        <w:rPr>
          <w:i/>
          <w:lang w:val="fr-CA" w:eastAsia="en-CA"/>
        </w:rPr>
      </w:pPr>
      <w:hyperlink r:id="rId42" w:history="1">
        <w:r w:rsidR="00576591" w:rsidRPr="00712DC9">
          <w:rPr>
            <w:rStyle w:val="Hyperlink"/>
            <w:i/>
            <w:lang w:val="fr-CA"/>
          </w:rPr>
          <w:t>D2 - Voyage international (cbsa-asfc.gc.ca)</w:t>
        </w:r>
      </w:hyperlink>
    </w:p>
    <w:p w14:paraId="58863571" w14:textId="77777777" w:rsidR="00576591" w:rsidRPr="00712DC9" w:rsidRDefault="00CE70F3" w:rsidP="00576591">
      <w:pPr>
        <w:pStyle w:val="ListParagraph"/>
        <w:numPr>
          <w:ilvl w:val="0"/>
          <w:numId w:val="3"/>
        </w:numPr>
        <w:rPr>
          <w:i/>
          <w:lang w:val="fr-CA" w:eastAsia="en-CA"/>
        </w:rPr>
      </w:pPr>
      <w:hyperlink r:id="rId43" w:history="1">
        <w:r w:rsidR="00576591" w:rsidRPr="00712DC9">
          <w:rPr>
            <w:rStyle w:val="Hyperlink"/>
            <w:i/>
          </w:rPr>
          <w:t>D3 - Transport (cbsa-asfc.gc.ca)</w:t>
        </w:r>
      </w:hyperlink>
    </w:p>
    <w:p w14:paraId="2FBD1D4C" w14:textId="77777777" w:rsidR="00576591" w:rsidRPr="00712DC9" w:rsidRDefault="00804A82" w:rsidP="00576591">
      <w:pPr>
        <w:pStyle w:val="ListParagraph"/>
        <w:numPr>
          <w:ilvl w:val="0"/>
          <w:numId w:val="3"/>
        </w:numPr>
        <w:rPr>
          <w:i/>
          <w:lang w:val="fr-CA" w:eastAsia="en-CA"/>
        </w:rPr>
      </w:pPr>
      <w:hyperlink r:id="rId44" w:history="1">
        <w:r w:rsidR="00576591" w:rsidRPr="00712DC9">
          <w:rPr>
            <w:rStyle w:val="Hyperlink"/>
            <w:i/>
            <w:lang w:val="fr-CA"/>
          </w:rPr>
          <w:t>Mémorandum D4-1-4 - Entrepôts d'attente des douanes (cbsa-asfc.gc.ca)</w:t>
        </w:r>
      </w:hyperlink>
    </w:p>
    <w:p w14:paraId="0519C002" w14:textId="77777777" w:rsidR="00576591" w:rsidRPr="00712DC9" w:rsidRDefault="00804A82" w:rsidP="00576591">
      <w:pPr>
        <w:pStyle w:val="ListParagraph"/>
        <w:numPr>
          <w:ilvl w:val="0"/>
          <w:numId w:val="3"/>
        </w:numPr>
        <w:rPr>
          <w:i/>
          <w:lang w:val="fr-CA" w:eastAsia="en-CA"/>
        </w:rPr>
      </w:pPr>
      <w:hyperlink r:id="rId45" w:history="1">
        <w:r w:rsidR="00576591" w:rsidRPr="00712DC9">
          <w:rPr>
            <w:rStyle w:val="Hyperlink"/>
            <w:i/>
            <w:lang w:val="fr-CA"/>
          </w:rPr>
          <w:t>Mémorandum D4-1-7 - Prorogation des délais pour l’entreposage des marchandises (cbsa-asfc.gc.ca)</w:t>
        </w:r>
      </w:hyperlink>
    </w:p>
    <w:p w14:paraId="47E7C692" w14:textId="77777777" w:rsidR="00576591" w:rsidRPr="00712DC9" w:rsidRDefault="00804A82" w:rsidP="00576591">
      <w:pPr>
        <w:pStyle w:val="ListParagraph"/>
        <w:numPr>
          <w:ilvl w:val="0"/>
          <w:numId w:val="3"/>
        </w:numPr>
        <w:rPr>
          <w:i/>
          <w:lang w:val="fr-CA" w:eastAsia="en-CA"/>
        </w:rPr>
      </w:pPr>
      <w:hyperlink r:id="rId46" w:history="1">
        <w:r w:rsidR="00576591" w:rsidRPr="00712DC9">
          <w:rPr>
            <w:rStyle w:val="Hyperlink"/>
            <w:i/>
            <w:lang w:val="fr-CA"/>
          </w:rPr>
          <w:t>Mémorandum D5-1-1 - Traitement du courrier international (cbsa-asfc.gc.ca)</w:t>
        </w:r>
      </w:hyperlink>
    </w:p>
    <w:p w14:paraId="21B9B192" w14:textId="77777777" w:rsidR="00576591" w:rsidRPr="00712DC9" w:rsidRDefault="00804A82" w:rsidP="00576591">
      <w:pPr>
        <w:pStyle w:val="ListParagraph"/>
        <w:numPr>
          <w:ilvl w:val="0"/>
          <w:numId w:val="3"/>
        </w:numPr>
        <w:rPr>
          <w:i/>
          <w:lang w:val="fr-CA" w:eastAsia="en-CA"/>
        </w:rPr>
      </w:pPr>
      <w:hyperlink r:id="rId47" w:history="1">
        <w:r w:rsidR="00576591" w:rsidRPr="00712DC9">
          <w:rPr>
            <w:rStyle w:val="Hyperlink"/>
            <w:i/>
            <w:lang w:val="fr-CA"/>
          </w:rPr>
          <w:t>Mémorandum D6-2-3 - Remboursement des droits (cbsa-asfc.gc.ca)</w:t>
        </w:r>
      </w:hyperlink>
    </w:p>
    <w:p w14:paraId="6BDE0268" w14:textId="77777777" w:rsidR="00576591" w:rsidRPr="00712DC9" w:rsidRDefault="00804A82" w:rsidP="00576591">
      <w:pPr>
        <w:pStyle w:val="ListParagraph"/>
        <w:numPr>
          <w:ilvl w:val="0"/>
          <w:numId w:val="3"/>
        </w:numPr>
        <w:rPr>
          <w:i/>
          <w:lang w:val="fr-CA" w:eastAsia="en-CA"/>
        </w:rPr>
      </w:pPr>
      <w:hyperlink r:id="rId48" w:history="1">
        <w:r w:rsidR="00576591" w:rsidRPr="00712DC9">
          <w:rPr>
            <w:rStyle w:val="Hyperlink"/>
            <w:i/>
            <w:lang w:val="fr-CA"/>
          </w:rPr>
          <w:t>Mémorandum D6-2-6 - Remboursement des droits et des taxes sur les importations non commerciales (cbsa-asfc.gc.ca)</w:t>
        </w:r>
      </w:hyperlink>
    </w:p>
    <w:p w14:paraId="3F0F3DDA" w14:textId="77777777" w:rsidR="00576591" w:rsidRPr="00712DC9" w:rsidRDefault="00804A82" w:rsidP="00576591">
      <w:pPr>
        <w:pStyle w:val="ListParagraph"/>
        <w:numPr>
          <w:ilvl w:val="0"/>
          <w:numId w:val="3"/>
        </w:numPr>
        <w:rPr>
          <w:i/>
          <w:lang w:val="fr-CA" w:eastAsia="en-CA"/>
        </w:rPr>
      </w:pPr>
      <w:hyperlink r:id="rId49" w:history="1">
        <w:r w:rsidR="00576591" w:rsidRPr="00712DC9">
          <w:rPr>
            <w:rStyle w:val="Hyperlink"/>
            <w:i/>
            <w:lang w:val="fr-CA"/>
          </w:rPr>
          <w:t>Mémorandum D7-4-2 - Programme de drawback des droits (cbsa-asfc.gc.ca)</w:t>
        </w:r>
      </w:hyperlink>
    </w:p>
    <w:p w14:paraId="46C4A797" w14:textId="77777777" w:rsidR="00576591" w:rsidRPr="00712DC9" w:rsidRDefault="00804A82" w:rsidP="00576591">
      <w:pPr>
        <w:pStyle w:val="ListParagraph"/>
        <w:numPr>
          <w:ilvl w:val="0"/>
          <w:numId w:val="3"/>
        </w:numPr>
        <w:rPr>
          <w:i/>
          <w:lang w:val="fr-CA" w:eastAsia="en-CA"/>
        </w:rPr>
      </w:pPr>
      <w:hyperlink r:id="rId50" w:history="1">
        <w:r w:rsidR="00576591" w:rsidRPr="00712DC9">
          <w:rPr>
            <w:rStyle w:val="Hyperlink"/>
            <w:i/>
            <w:lang w:val="fr-CA"/>
          </w:rPr>
          <w:t>Mémorandum D7-4-4 - Entrepôts de stockage des douanes (cbsa-asfc.gc.ca)</w:t>
        </w:r>
      </w:hyperlink>
    </w:p>
    <w:p w14:paraId="015E2C11" w14:textId="77777777" w:rsidR="00576591" w:rsidRPr="00712DC9" w:rsidRDefault="00804A82" w:rsidP="00576591">
      <w:pPr>
        <w:pStyle w:val="ListParagraph"/>
        <w:numPr>
          <w:ilvl w:val="0"/>
          <w:numId w:val="3"/>
        </w:numPr>
        <w:rPr>
          <w:i/>
          <w:lang w:val="fr-CA" w:eastAsia="en-CA"/>
        </w:rPr>
      </w:pPr>
      <w:hyperlink r:id="rId51" w:history="1">
        <w:r w:rsidR="00576591" w:rsidRPr="00712DC9">
          <w:rPr>
            <w:rStyle w:val="Hyperlink"/>
            <w:i/>
            <w:lang w:val="fr-CA"/>
          </w:rPr>
          <w:t>Mémorandum D11-4-16 - Décisions anticipées en matière d’origine découlant d’accords de libre-échange (cbsa-asfc.gc.ca)</w:t>
        </w:r>
      </w:hyperlink>
    </w:p>
    <w:p w14:paraId="14CD4459" w14:textId="77777777" w:rsidR="00576591" w:rsidRPr="00712DC9" w:rsidRDefault="00804A82" w:rsidP="00576591">
      <w:pPr>
        <w:pStyle w:val="ListParagraph"/>
        <w:numPr>
          <w:ilvl w:val="0"/>
          <w:numId w:val="3"/>
        </w:numPr>
        <w:rPr>
          <w:i/>
          <w:lang w:val="fr-CA" w:eastAsia="en-CA"/>
        </w:rPr>
      </w:pPr>
      <w:hyperlink r:id="rId52" w:history="1">
        <w:r w:rsidR="00576591" w:rsidRPr="00712DC9">
          <w:rPr>
            <w:rStyle w:val="Hyperlink"/>
            <w:i/>
            <w:lang w:val="fr-CA"/>
          </w:rPr>
          <w:t>Mémorandum D11-6-5 - Dispositions relatives aux intérêts et aux pénalités : déterminations, classements ou appréciations et révisions ou réexamens et exonérations de droits (cbsa-asfc.gc.ca)</w:t>
        </w:r>
      </w:hyperlink>
    </w:p>
    <w:p w14:paraId="21C3B857" w14:textId="77777777" w:rsidR="00576591" w:rsidRPr="00712DC9" w:rsidRDefault="00804A82" w:rsidP="00576591">
      <w:pPr>
        <w:pStyle w:val="ListParagraph"/>
        <w:numPr>
          <w:ilvl w:val="0"/>
          <w:numId w:val="3"/>
        </w:numPr>
        <w:rPr>
          <w:i/>
          <w:lang w:val="fr-CA" w:eastAsia="en-CA"/>
        </w:rPr>
      </w:pPr>
      <w:hyperlink r:id="rId53" w:history="1">
        <w:r w:rsidR="00576591" w:rsidRPr="00712DC9">
          <w:rPr>
            <w:rStyle w:val="Hyperlink"/>
            <w:i/>
            <w:lang w:val="fr-CA"/>
          </w:rPr>
          <w:t>Mémorandum D11-6-6 - Motifs de croire et corrections à la déclaration de l’origine, du classement tarifaire ou de la valeur en douane (cbsa-asfc.gc.ca)</w:t>
        </w:r>
      </w:hyperlink>
    </w:p>
    <w:p w14:paraId="6C83B4D0" w14:textId="77777777" w:rsidR="00576591" w:rsidRPr="00712DC9" w:rsidRDefault="00804A82" w:rsidP="00576591">
      <w:pPr>
        <w:pStyle w:val="ListParagraph"/>
        <w:numPr>
          <w:ilvl w:val="0"/>
          <w:numId w:val="3"/>
        </w:numPr>
        <w:rPr>
          <w:i/>
          <w:lang w:val="fr-CA" w:eastAsia="en-CA"/>
        </w:rPr>
      </w:pPr>
      <w:hyperlink r:id="rId54" w:history="1">
        <w:r w:rsidR="00576591" w:rsidRPr="00712DC9">
          <w:rPr>
            <w:rStyle w:val="Hyperlink"/>
            <w:i/>
            <w:lang w:val="fr-CA"/>
          </w:rPr>
          <w:t>Mémorandum D11-6-7 - Demande de révision, de réexamen ou de révision d’une décision par le Président de l’Agence des services frontaliers du Canada en vertu de l’article 60 de la Loi sur les douanes (cbsa-asfc.gc.ca)</w:t>
        </w:r>
      </w:hyperlink>
    </w:p>
    <w:p w14:paraId="13BC7189" w14:textId="77777777" w:rsidR="00576591" w:rsidRPr="00712DC9" w:rsidRDefault="00804A82" w:rsidP="00576591">
      <w:pPr>
        <w:pStyle w:val="ListParagraph"/>
        <w:numPr>
          <w:ilvl w:val="0"/>
          <w:numId w:val="3"/>
        </w:numPr>
        <w:rPr>
          <w:i/>
          <w:lang w:val="fr-CA" w:eastAsia="en-CA"/>
        </w:rPr>
      </w:pPr>
      <w:hyperlink r:id="rId55" w:history="1">
        <w:r w:rsidR="00576591" w:rsidRPr="00712DC9">
          <w:rPr>
            <w:rStyle w:val="Hyperlink"/>
            <w:i/>
            <w:lang w:val="fr-CA"/>
          </w:rPr>
          <w:t>Mémorandum D11-11-1 - Décisions nationales des douanes (DND) (cbsa-asfc.gc.ca)</w:t>
        </w:r>
      </w:hyperlink>
    </w:p>
    <w:p w14:paraId="3F5C4819" w14:textId="6F968BE3" w:rsidR="00576591" w:rsidRPr="0080244D" w:rsidRDefault="00804A82" w:rsidP="00576591">
      <w:pPr>
        <w:pStyle w:val="ListParagraph"/>
        <w:numPr>
          <w:ilvl w:val="0"/>
          <w:numId w:val="3"/>
        </w:numPr>
        <w:rPr>
          <w:rStyle w:val="Hyperlink"/>
          <w:i/>
          <w:color w:val="auto"/>
          <w:u w:val="none"/>
          <w:lang w:val="fr-CA" w:eastAsia="en-CA"/>
        </w:rPr>
      </w:pPr>
      <w:hyperlink r:id="rId56" w:history="1">
        <w:r w:rsidR="00576591" w:rsidRPr="00712DC9">
          <w:rPr>
            <w:rStyle w:val="Hyperlink"/>
            <w:i/>
            <w:lang w:val="fr-CA"/>
          </w:rPr>
          <w:t>Mémorandum D11-11-3 - Décisions anticipées en matière de classement tarifaire (cbsa-asfc.gc.ca)</w:t>
        </w:r>
      </w:hyperlink>
    </w:p>
    <w:p w14:paraId="7D81749A" w14:textId="7F9F1C51" w:rsidR="0080244D" w:rsidRPr="00CE70F3" w:rsidRDefault="00804A82" w:rsidP="00576591">
      <w:pPr>
        <w:pStyle w:val="ListParagraph"/>
        <w:numPr>
          <w:ilvl w:val="0"/>
          <w:numId w:val="3"/>
        </w:numPr>
        <w:rPr>
          <w:i/>
          <w:lang w:val="fr-CA" w:eastAsia="en-CA"/>
        </w:rPr>
      </w:pPr>
      <w:hyperlink r:id="rId57" w:history="1">
        <w:r w:rsidR="0080244D" w:rsidRPr="00CE70F3">
          <w:rPr>
            <w:rStyle w:val="Hyperlink"/>
            <w:i/>
            <w:lang w:val="fr-CA"/>
          </w:rPr>
          <w:t>Mémorandums</w:t>
        </w:r>
        <w:r w:rsidR="00D74A96">
          <w:rPr>
            <w:rStyle w:val="Hyperlink"/>
            <w:i/>
            <w:lang w:val="fr-CA"/>
          </w:rPr>
          <w:t xml:space="preserve"> D,</w:t>
        </w:r>
        <w:r w:rsidR="0080244D" w:rsidRPr="00CE70F3">
          <w:rPr>
            <w:rStyle w:val="Hyperlink"/>
            <w:rFonts w:eastAsia="Times New Roman" w:cs="Arial"/>
            <w:i/>
            <w:szCs w:val="24"/>
            <w:lang w:val="fr-CA" w:bidi="en-US"/>
          </w:rPr>
          <w:t xml:space="preserve"> D17 - Procédures de déclarations en détail et des mainlevées</w:t>
        </w:r>
      </w:hyperlink>
    </w:p>
    <w:p w14:paraId="5246AAD1" w14:textId="77777777" w:rsidR="00576591" w:rsidRPr="00712DC9" w:rsidRDefault="00804A82" w:rsidP="00576591">
      <w:pPr>
        <w:pStyle w:val="ListParagraph"/>
        <w:numPr>
          <w:ilvl w:val="0"/>
          <w:numId w:val="3"/>
        </w:numPr>
        <w:rPr>
          <w:i/>
          <w:lang w:val="fr-CA" w:eastAsia="en-CA"/>
        </w:rPr>
      </w:pPr>
      <w:hyperlink r:id="rId58" w:history="1">
        <w:r w:rsidR="00576591" w:rsidRPr="00712DC9">
          <w:rPr>
            <w:rStyle w:val="Hyperlink"/>
            <w:i/>
            <w:lang w:val="fr-CA"/>
          </w:rPr>
          <w:t>Mémorandum D17-1-3 - Importations occasionnelles (cbsa-asfc.gc.ca)</w:t>
        </w:r>
      </w:hyperlink>
    </w:p>
    <w:p w14:paraId="7C13F58E" w14:textId="77777777" w:rsidR="00576591" w:rsidRPr="00712DC9" w:rsidRDefault="00804A82" w:rsidP="00576591">
      <w:pPr>
        <w:pStyle w:val="ListParagraph"/>
        <w:numPr>
          <w:ilvl w:val="0"/>
          <w:numId w:val="3"/>
        </w:numPr>
        <w:rPr>
          <w:i/>
          <w:lang w:val="fr-CA" w:eastAsia="en-CA"/>
        </w:rPr>
      </w:pPr>
      <w:hyperlink r:id="rId59" w:history="1">
        <w:r w:rsidR="00576591" w:rsidRPr="00712DC9">
          <w:rPr>
            <w:rStyle w:val="Hyperlink"/>
            <w:i/>
            <w:lang w:val="fr-CA"/>
          </w:rPr>
          <w:t>Mémorandum D17-2-1 - Codage, Présentation et Traitement d'un Formulaire B2, Douanes Canada – Demande de Rajustement (cbsa-asfc.gc.ca)</w:t>
        </w:r>
      </w:hyperlink>
    </w:p>
    <w:p w14:paraId="24C03C6D" w14:textId="77777777" w:rsidR="00576591" w:rsidRPr="00712DC9" w:rsidRDefault="00804A82" w:rsidP="00576591">
      <w:pPr>
        <w:pStyle w:val="ListParagraph"/>
        <w:numPr>
          <w:ilvl w:val="0"/>
          <w:numId w:val="3"/>
        </w:numPr>
        <w:rPr>
          <w:i/>
          <w:lang w:val="fr-CA" w:eastAsia="en-CA"/>
        </w:rPr>
      </w:pPr>
      <w:hyperlink r:id="rId60" w:history="1">
        <w:r w:rsidR="00576591" w:rsidRPr="00712DC9">
          <w:rPr>
            <w:rStyle w:val="Hyperlink"/>
            <w:i/>
            <w:lang w:val="fr-CA"/>
          </w:rPr>
          <w:t>Mémorandum D17-1-22 - Déclaration en détail de la taxe de vente harmonisée, de la taxe de vente provinciale, de la taxe provinciale sur le tabac et de la majoration ou du droit sur l'alcool à l'égard des importations occasionnelles traitées par les filières du secteur commercial et des services de messagerie (cbsa-asfc.gc.ca)</w:t>
        </w:r>
      </w:hyperlink>
    </w:p>
    <w:p w14:paraId="7DDAF48A" w14:textId="77777777" w:rsidR="00576591" w:rsidRPr="00712DC9" w:rsidRDefault="00804A82" w:rsidP="00576591">
      <w:pPr>
        <w:pStyle w:val="ListParagraph"/>
        <w:numPr>
          <w:ilvl w:val="0"/>
          <w:numId w:val="3"/>
        </w:numPr>
        <w:rPr>
          <w:i/>
          <w:lang w:val="fr-CA" w:eastAsia="en-CA"/>
        </w:rPr>
      </w:pPr>
      <w:hyperlink r:id="rId61" w:history="1">
        <w:r w:rsidR="00576591" w:rsidRPr="00712DC9">
          <w:rPr>
            <w:rStyle w:val="Hyperlink"/>
            <w:i/>
            <w:lang w:val="fr-CA"/>
          </w:rPr>
          <w:t>Mémorandum D17-4-0 - Programme des messageries d’expéditions de faible valeur (cbsa-asfc.gc.ca)</w:t>
        </w:r>
      </w:hyperlink>
    </w:p>
    <w:p w14:paraId="53E45542" w14:textId="77777777" w:rsidR="00576591" w:rsidRPr="00712DC9" w:rsidRDefault="00804A82" w:rsidP="00576591">
      <w:pPr>
        <w:pStyle w:val="ListParagraph"/>
        <w:numPr>
          <w:ilvl w:val="0"/>
          <w:numId w:val="3"/>
        </w:numPr>
        <w:rPr>
          <w:i/>
          <w:lang w:val="fr-CA" w:eastAsia="en-CA"/>
        </w:rPr>
      </w:pPr>
      <w:hyperlink r:id="rId62" w:history="1">
        <w:r w:rsidR="00576591" w:rsidRPr="00712DC9">
          <w:rPr>
            <w:rStyle w:val="Hyperlink"/>
            <w:i/>
            <w:lang w:val="fr-CA"/>
          </w:rPr>
          <w:t>Mémorandum D22-1-1 - Régime de sanctions administratives pécuniaires (cbsa-asfc.gc.ca)</w:t>
        </w:r>
      </w:hyperlink>
    </w:p>
    <w:p w14:paraId="79A79A04" w14:textId="77777777" w:rsidR="00576591" w:rsidRPr="00712DC9" w:rsidRDefault="00804A82" w:rsidP="00576591">
      <w:pPr>
        <w:pStyle w:val="ListParagraph"/>
        <w:numPr>
          <w:ilvl w:val="0"/>
          <w:numId w:val="3"/>
        </w:numPr>
        <w:rPr>
          <w:rStyle w:val="Hyperlink"/>
          <w:i/>
          <w:color w:val="auto"/>
          <w:u w:val="none"/>
          <w:lang w:val="fr-CA" w:eastAsia="en-CA"/>
        </w:rPr>
      </w:pPr>
      <w:hyperlink r:id="rId63" w:history="1">
        <w:r w:rsidR="00576591" w:rsidRPr="00712DC9">
          <w:rPr>
            <w:rStyle w:val="Hyperlink"/>
            <w:i/>
            <w:lang w:val="fr-CA"/>
          </w:rPr>
          <w:t>Mémorandum D23-3-1 - Programme d’autocotisation des douanes (PAD) pour les importateurs (cbsa-asfc.gc.ca)</w:t>
        </w:r>
      </w:hyperlink>
    </w:p>
    <w:p w14:paraId="6090CA5D" w14:textId="3CFEC7CA" w:rsidR="00F67E75" w:rsidRPr="00E46296" w:rsidRDefault="00804A82" w:rsidP="00034550">
      <w:pPr>
        <w:pStyle w:val="ListParagraph"/>
        <w:numPr>
          <w:ilvl w:val="0"/>
          <w:numId w:val="3"/>
        </w:numPr>
        <w:rPr>
          <w:lang w:val="fr-CA" w:eastAsia="en-CA"/>
        </w:rPr>
      </w:pPr>
      <w:hyperlink r:id="rId64" w:history="1">
        <w:r w:rsidR="00F67E75" w:rsidRPr="00F67E75">
          <w:rPr>
            <w:rStyle w:val="Hyperlink"/>
            <w:lang w:val="fr-CA" w:eastAsia="en-CA"/>
          </w:rPr>
          <w:t>B2 – Douanes Canada – Demande de rajustement</w:t>
        </w:r>
      </w:hyperlink>
    </w:p>
    <w:p w14:paraId="2EC00881" w14:textId="77777777" w:rsidR="008D64B4" w:rsidRPr="008D64B4" w:rsidRDefault="00804A82" w:rsidP="00034550">
      <w:pPr>
        <w:pStyle w:val="ListParagraph"/>
        <w:numPr>
          <w:ilvl w:val="0"/>
          <w:numId w:val="3"/>
        </w:numPr>
        <w:rPr>
          <w:rFonts w:cs="Arial"/>
          <w:szCs w:val="24"/>
          <w:lang w:val="fr-CA" w:eastAsia="en-CA"/>
        </w:rPr>
      </w:pPr>
      <w:hyperlink r:id="rId65" w:history="1">
        <w:r w:rsidR="008D64B4">
          <w:rPr>
            <w:rStyle w:val="Hyperlink"/>
            <w:lang w:val="fr-CA"/>
          </w:rPr>
          <w:t>Formulaire B2G Demande Informelle de Rajustement de l'ASFC (cbsa-asfc.gc.ca)</w:t>
        </w:r>
      </w:hyperlink>
    </w:p>
    <w:p w14:paraId="5488B2D0" w14:textId="1A9DC9B3" w:rsidR="00F67E75" w:rsidRPr="00902F78" w:rsidRDefault="00804A82" w:rsidP="00034550">
      <w:pPr>
        <w:pStyle w:val="ListParagraph"/>
        <w:numPr>
          <w:ilvl w:val="0"/>
          <w:numId w:val="3"/>
        </w:numPr>
        <w:rPr>
          <w:rStyle w:val="Hyperlink"/>
          <w:rFonts w:cs="Arial"/>
          <w:color w:val="auto"/>
          <w:szCs w:val="24"/>
          <w:u w:val="none"/>
          <w:lang w:val="fr-CA" w:eastAsia="en-CA"/>
        </w:rPr>
      </w:pPr>
      <w:hyperlink r:id="rId66" w:history="1">
        <w:r w:rsidR="00F67E75" w:rsidRPr="00F67E75">
          <w:rPr>
            <w:rStyle w:val="Hyperlink"/>
            <w:rFonts w:cs="Arial"/>
            <w:szCs w:val="24"/>
            <w:lang w:val="fr-CA" w:eastAsia="en-CA"/>
          </w:rPr>
          <w:t>B3-3 - Douanes Canada - Formule de codage</w:t>
        </w:r>
      </w:hyperlink>
    </w:p>
    <w:p w14:paraId="324F910D" w14:textId="250938AA" w:rsidR="00902F78" w:rsidRPr="00CE70F3" w:rsidRDefault="0031438F">
      <w:pPr>
        <w:pStyle w:val="ListParagraph"/>
        <w:numPr>
          <w:ilvl w:val="0"/>
          <w:numId w:val="3"/>
        </w:numPr>
        <w:rPr>
          <w:lang w:val="fr-CA"/>
        </w:rPr>
      </w:pPr>
      <w:hyperlink r:id="rId67" w:history="1">
        <w:r w:rsidRPr="00B600BA">
          <w:rPr>
            <w:rStyle w:val="Hyperlink"/>
            <w:rFonts w:cs="Arial"/>
            <w:i/>
            <w:szCs w:val="24"/>
            <w:highlight w:val="yellow"/>
            <w:u w:color="0000FF"/>
            <w:lang w:val="fr-CA"/>
          </w:rPr>
          <w:t>Règlement concernant les droits d'accise sur les produits de vapotage</w:t>
        </w:r>
      </w:hyperlink>
    </w:p>
    <w:p w14:paraId="360F3AEB" w14:textId="7FEA2385" w:rsidR="00445DFA" w:rsidRPr="00445DFA" w:rsidRDefault="00804A82" w:rsidP="00034550">
      <w:pPr>
        <w:pStyle w:val="ListParagraph"/>
        <w:numPr>
          <w:ilvl w:val="0"/>
          <w:numId w:val="3"/>
        </w:numPr>
        <w:rPr>
          <w:rFonts w:cs="Arial"/>
          <w:szCs w:val="24"/>
          <w:lang w:val="fr-CA" w:eastAsia="en-CA"/>
        </w:rPr>
      </w:pPr>
      <w:hyperlink r:id="rId68" w:history="1">
        <w:r w:rsidR="00445DFA" w:rsidRPr="00876096">
          <w:rPr>
            <w:rStyle w:val="Hyperlink"/>
            <w:rFonts w:eastAsia="Times New Roman" w:cs="Arial"/>
            <w:szCs w:val="24"/>
            <w:lang w:val="fr-FR" w:eastAsia="fr-FR" w:bidi="fr-FR"/>
          </w:rPr>
          <w:t>Faire une demande de licence de produits de vapotage</w:t>
        </w:r>
      </w:hyperlink>
    </w:p>
    <w:p w14:paraId="52E1C2C1" w14:textId="169DACB5" w:rsidR="00356F43" w:rsidRPr="008D64B4" w:rsidRDefault="00804A82" w:rsidP="00034550">
      <w:pPr>
        <w:pStyle w:val="ListParagraph"/>
        <w:numPr>
          <w:ilvl w:val="0"/>
          <w:numId w:val="3"/>
        </w:numPr>
        <w:rPr>
          <w:rFonts w:cs="Arial"/>
          <w:i/>
          <w:szCs w:val="24"/>
          <w:lang w:val="fr-CA" w:eastAsia="en-CA"/>
        </w:rPr>
      </w:pPr>
      <w:hyperlink r:id="rId69" w:history="1">
        <w:r w:rsidR="00356F43" w:rsidRPr="00356F43">
          <w:rPr>
            <w:rStyle w:val="Hyperlink"/>
            <w:rFonts w:cs="Arial"/>
            <w:i/>
            <w:szCs w:val="24"/>
            <w:lang w:val="fr-CA" w:eastAsia="en-CA"/>
          </w:rPr>
          <w:t>L'avis sur les droits d'accise EDN79 Obtention et renouvellement d’une licence de produits de vapotage</w:t>
        </w:r>
      </w:hyperlink>
    </w:p>
    <w:p w14:paraId="607EF268" w14:textId="69BA89EB" w:rsidR="00356F43" w:rsidRPr="008D64B4" w:rsidRDefault="00804A82" w:rsidP="00034550">
      <w:pPr>
        <w:pStyle w:val="ListParagraph"/>
        <w:numPr>
          <w:ilvl w:val="0"/>
          <w:numId w:val="3"/>
        </w:numPr>
        <w:rPr>
          <w:rFonts w:cs="Arial"/>
          <w:i/>
          <w:szCs w:val="24"/>
          <w:lang w:val="fr-CA" w:eastAsia="en-CA"/>
        </w:rPr>
      </w:pPr>
      <w:hyperlink r:id="rId70" w:history="1">
        <w:r w:rsidR="00356F43" w:rsidRPr="00356F43">
          <w:rPr>
            <w:rStyle w:val="Hyperlink"/>
            <w:rFonts w:cs="Arial"/>
            <w:i/>
            <w:szCs w:val="24"/>
            <w:lang w:val="fr-CA" w:eastAsia="en-CA"/>
          </w:rPr>
          <w:t>L'avis sur les droits d'accise EDN80 Aperçu des timbres d’accise de vapotage</w:t>
        </w:r>
      </w:hyperlink>
    </w:p>
    <w:p w14:paraId="2E19D857" w14:textId="177D61FE" w:rsidR="0094200A" w:rsidRDefault="00804A82" w:rsidP="00BB2B5A">
      <w:pPr>
        <w:pStyle w:val="ListParagraph"/>
        <w:numPr>
          <w:ilvl w:val="0"/>
          <w:numId w:val="3"/>
        </w:numPr>
        <w:rPr>
          <w:rFonts w:cs="Arial"/>
          <w:i/>
          <w:szCs w:val="24"/>
          <w:lang w:val="fr-CA" w:eastAsia="en-CA"/>
        </w:rPr>
      </w:pPr>
      <w:hyperlink r:id="rId71" w:history="1">
        <w:r w:rsidR="0094200A" w:rsidRPr="0094200A">
          <w:rPr>
            <w:rStyle w:val="Hyperlink"/>
            <w:rFonts w:cs="Arial"/>
            <w:i/>
            <w:szCs w:val="24"/>
            <w:lang w:val="fr-CA" w:eastAsia="en-CA"/>
          </w:rPr>
          <w:t>L'avis sur les droits d'accise EDN81 Comment devenir une personne visée par règlement relativement aux produits de vapotage</w:t>
        </w:r>
      </w:hyperlink>
    </w:p>
    <w:p w14:paraId="65243493" w14:textId="47F149D8" w:rsidR="00661396" w:rsidRPr="0094200A" w:rsidRDefault="00804A82" w:rsidP="00BB2B5A">
      <w:pPr>
        <w:pStyle w:val="ListParagraph"/>
        <w:numPr>
          <w:ilvl w:val="0"/>
          <w:numId w:val="3"/>
        </w:numPr>
        <w:rPr>
          <w:rFonts w:cs="Arial"/>
          <w:i/>
          <w:szCs w:val="24"/>
          <w:lang w:val="fr-CA" w:eastAsia="en-CA"/>
        </w:rPr>
      </w:pPr>
      <w:hyperlink r:id="rId72" w:history="1">
        <w:r w:rsidR="00661396" w:rsidRPr="00661396">
          <w:rPr>
            <w:rStyle w:val="Hyperlink"/>
            <w:rFonts w:cs="Arial"/>
            <w:i/>
            <w:szCs w:val="24"/>
            <w:lang w:val="fr-CA" w:eastAsia="en-CA"/>
          </w:rPr>
          <w:t>L'avis sur les droits d'accise EDN82 Calcul du droit sur le vapotage</w:t>
        </w:r>
      </w:hyperlink>
    </w:p>
    <w:p w14:paraId="2B12DE74" w14:textId="7CE4BCB1" w:rsidR="009F4886" w:rsidRPr="008D64B4" w:rsidRDefault="00804A82" w:rsidP="00034550">
      <w:pPr>
        <w:pStyle w:val="ListParagraph"/>
        <w:numPr>
          <w:ilvl w:val="0"/>
          <w:numId w:val="3"/>
        </w:numPr>
        <w:rPr>
          <w:rFonts w:cs="Arial"/>
          <w:i/>
          <w:szCs w:val="24"/>
          <w:lang w:val="fr-CA" w:eastAsia="en-CA"/>
        </w:rPr>
      </w:pPr>
      <w:hyperlink r:id="rId73" w:history="1">
        <w:r w:rsidR="009F4886" w:rsidRPr="009F4886">
          <w:rPr>
            <w:rStyle w:val="Hyperlink"/>
            <w:rFonts w:cs="Arial"/>
            <w:i/>
            <w:szCs w:val="24"/>
            <w:lang w:val="fr-CA" w:eastAsia="en-CA"/>
          </w:rPr>
          <w:t>L'avis sur les droits d'accise EDM9-1-1 Exigences générales en matière de livres et registres</w:t>
        </w:r>
      </w:hyperlink>
    </w:p>
    <w:p w14:paraId="21A0F357" w14:textId="515DA785" w:rsidR="00123148" w:rsidRDefault="00804A82" w:rsidP="008D64B4">
      <w:pPr>
        <w:pStyle w:val="ListParagraph"/>
        <w:numPr>
          <w:ilvl w:val="0"/>
          <w:numId w:val="3"/>
        </w:numPr>
        <w:rPr>
          <w:rFonts w:cs="Arial"/>
          <w:szCs w:val="24"/>
          <w:lang w:val="fr-CA" w:eastAsia="en-CA"/>
        </w:rPr>
      </w:pPr>
      <w:hyperlink r:id="rId74" w:history="1">
        <w:r w:rsidR="008D64B4" w:rsidRPr="008D64B4">
          <w:rPr>
            <w:rStyle w:val="Hyperlink"/>
            <w:rFonts w:cs="Arial"/>
            <w:szCs w:val="24"/>
            <w:lang w:val="fr-CA" w:eastAsia="en-CA"/>
          </w:rPr>
          <w:t>Formulaire L601</w:t>
        </w:r>
        <w:r w:rsidR="008D64B4">
          <w:rPr>
            <w:rStyle w:val="Hyperlink"/>
            <w:rFonts w:cs="Arial"/>
            <w:szCs w:val="24"/>
            <w:lang w:val="fr-CA" w:eastAsia="en-CA"/>
          </w:rPr>
          <w:t xml:space="preserve"> </w:t>
        </w:r>
        <w:r w:rsidR="00123148" w:rsidRPr="00123148">
          <w:rPr>
            <w:rStyle w:val="Hyperlink"/>
            <w:rFonts w:cs="Arial"/>
            <w:szCs w:val="24"/>
            <w:lang w:val="fr-CA" w:eastAsia="en-CA"/>
          </w:rPr>
          <w:t>Inscription au régime d'estampillage pour les produits de vapotage</w:t>
        </w:r>
        <w:r w:rsidR="008D64B4">
          <w:rPr>
            <w:rStyle w:val="Hyperlink"/>
            <w:rFonts w:cs="Arial"/>
            <w:szCs w:val="24"/>
            <w:lang w:val="fr-CA" w:eastAsia="en-CA"/>
          </w:rPr>
          <w:t xml:space="preserve"> </w:t>
        </w:r>
      </w:hyperlink>
    </w:p>
    <w:p w14:paraId="323C2405" w14:textId="341FA2C8" w:rsidR="00123148" w:rsidRDefault="00804A82" w:rsidP="00034550">
      <w:pPr>
        <w:pStyle w:val="ListParagraph"/>
        <w:numPr>
          <w:ilvl w:val="0"/>
          <w:numId w:val="3"/>
        </w:numPr>
        <w:rPr>
          <w:rFonts w:cs="Arial"/>
          <w:szCs w:val="24"/>
          <w:lang w:val="fr-CA" w:eastAsia="en-CA"/>
        </w:rPr>
      </w:pPr>
      <w:hyperlink r:id="rId75" w:history="1">
        <w:r w:rsidR="002D24BD" w:rsidRPr="00170612">
          <w:rPr>
            <w:rStyle w:val="Hyperlink"/>
            <w:rFonts w:cs="Arial"/>
            <w:szCs w:val="24"/>
            <w:lang w:val="fr-CA" w:eastAsia="en-CA"/>
          </w:rPr>
          <w:t>Déclarer et verser les droits sur les produits de vapotage</w:t>
        </w:r>
      </w:hyperlink>
    </w:p>
    <w:p w14:paraId="3CB49D96" w14:textId="51ADBBFA" w:rsidR="00170612" w:rsidRPr="00170612" w:rsidRDefault="00804A82" w:rsidP="00034550">
      <w:pPr>
        <w:pStyle w:val="ListParagraph"/>
        <w:numPr>
          <w:ilvl w:val="0"/>
          <w:numId w:val="3"/>
        </w:numPr>
        <w:rPr>
          <w:rFonts w:cs="Arial"/>
          <w:szCs w:val="24"/>
          <w:lang w:val="fr-CA" w:eastAsia="en-CA"/>
        </w:rPr>
      </w:pPr>
      <w:hyperlink r:id="rId76">
        <w:r w:rsidR="00170612" w:rsidRPr="00170612">
          <w:rPr>
            <w:rFonts w:eastAsia="Times New Roman" w:cs="Arial"/>
            <w:color w:val="0000FF"/>
            <w:szCs w:val="24"/>
            <w:u w:val="single" w:color="0000FF"/>
            <w:lang w:val="fr-FR" w:eastAsia="fr-FR" w:bidi="fr-FR"/>
          </w:rPr>
          <w:t>Conformité et application de la loi sur le vapotage</w:t>
        </w:r>
      </w:hyperlink>
    </w:p>
    <w:p w14:paraId="356B42E2" w14:textId="77777777" w:rsidR="009E27B9" w:rsidRDefault="009E27B9" w:rsidP="000A6694">
      <w:pPr>
        <w:pStyle w:val="Heading2"/>
      </w:pPr>
    </w:p>
    <w:p w14:paraId="26DD8ED0" w14:textId="27D870C7" w:rsidR="009128AB" w:rsidRPr="00295A04" w:rsidRDefault="009128AB" w:rsidP="000A6694">
      <w:pPr>
        <w:pStyle w:val="Heading2"/>
      </w:pPr>
      <w:r w:rsidRPr="00295A04">
        <w:t xml:space="preserve">Tableau de métadonnées – obligatoire </w:t>
      </w:r>
    </w:p>
    <w:p w14:paraId="75446A66" w14:textId="1CBC8C91" w:rsidR="00976ECD" w:rsidRPr="00295A04" w:rsidRDefault="00804A82" w:rsidP="009128AB">
      <w:pPr>
        <w:rPr>
          <w:lang w:val="fr-CA" w:eastAsia="en-CA"/>
        </w:rPr>
      </w:pPr>
      <w:hyperlink r:id="rId77" w:history="1">
        <w:r w:rsidR="009128AB" w:rsidRPr="00295A04">
          <w:rPr>
            <w:rStyle w:val="Hyperlink"/>
            <w:lang w:val="fr-CA" w:eastAsia="en-CA"/>
          </w:rPr>
          <w:t>Apprendre à rédiger des métadonnées</w:t>
        </w:r>
      </w:hyperlink>
    </w:p>
    <w:tbl>
      <w:tblPr>
        <w:tblStyle w:val="TableGrid"/>
        <w:tblW w:w="11220" w:type="dxa"/>
        <w:tblLook w:val="04A0" w:firstRow="1" w:lastRow="0" w:firstColumn="1" w:lastColumn="0" w:noHBand="0" w:noVBand="1"/>
      </w:tblPr>
      <w:tblGrid>
        <w:gridCol w:w="6519"/>
        <w:gridCol w:w="4701"/>
      </w:tblGrid>
      <w:tr w:rsidR="005413D6" w:rsidRPr="00CE70F3" w14:paraId="71DC1736" w14:textId="77777777" w:rsidTr="00F373A7">
        <w:trPr>
          <w:trHeight w:val="480"/>
        </w:trPr>
        <w:tc>
          <w:tcPr>
            <w:tcW w:w="6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C3C5AD" w14:textId="6913E70C" w:rsidR="005413D6" w:rsidRPr="00295A04" w:rsidRDefault="005413D6" w:rsidP="005413D6">
            <w:pPr>
              <w:rPr>
                <w:rFonts w:cs="Arial"/>
                <w:b/>
                <w:bCs/>
                <w:sz w:val="20"/>
                <w:szCs w:val="20"/>
                <w:lang w:val="fr-CA"/>
              </w:rPr>
            </w:pPr>
            <w:bookmarkStart w:id="86" w:name="lt_pId029"/>
            <w:r w:rsidRPr="00295A04">
              <w:rPr>
                <w:rFonts w:cs="Arial"/>
                <w:b/>
                <w:sz w:val="20"/>
                <w:szCs w:val="20"/>
                <w:lang w:val="fr-CA" w:eastAsia="en-CA"/>
              </w:rPr>
              <w:t>Description</w:t>
            </w:r>
            <w:bookmarkEnd w:id="86"/>
            <w:r w:rsidRPr="00295A04">
              <w:rPr>
                <w:rFonts w:cs="Arial"/>
                <w:b/>
                <w:sz w:val="20"/>
                <w:szCs w:val="20"/>
                <w:lang w:val="fr-CA" w:eastAsia="en-CA"/>
              </w:rPr>
              <w:br/>
            </w:r>
            <w:bookmarkStart w:id="87" w:name="lt_pId030"/>
            <w:r w:rsidRPr="00295A04">
              <w:rPr>
                <w:rFonts w:cs="Arial"/>
                <w:sz w:val="20"/>
                <w:szCs w:val="20"/>
                <w:lang w:val="fr-CA" w:eastAsia="en-CA"/>
              </w:rPr>
              <w:t>1 ou 2 phrases qui résument la page</w:t>
            </w:r>
            <w:bookmarkEnd w:id="87"/>
          </w:p>
        </w:tc>
        <w:tc>
          <w:tcPr>
            <w:tcW w:w="4701" w:type="dxa"/>
            <w:tcBorders>
              <w:top w:val="single" w:sz="4" w:space="0" w:color="auto"/>
              <w:left w:val="single" w:sz="4" w:space="0" w:color="auto"/>
              <w:bottom w:val="single" w:sz="4" w:space="0" w:color="auto"/>
              <w:right w:val="single" w:sz="4" w:space="0" w:color="auto"/>
            </w:tcBorders>
          </w:tcPr>
          <w:p w14:paraId="3D83518B" w14:textId="556BA07C" w:rsidR="005413D6" w:rsidRPr="00295A04" w:rsidRDefault="00F373A7" w:rsidP="005413D6">
            <w:pPr>
              <w:rPr>
                <w:rFonts w:cs="Arial"/>
                <w:sz w:val="20"/>
                <w:szCs w:val="20"/>
                <w:lang w:val="fr-CA"/>
              </w:rPr>
            </w:pPr>
            <w:r w:rsidRPr="00F373A7">
              <w:rPr>
                <w:rFonts w:cs="Arial"/>
                <w:sz w:val="20"/>
                <w:szCs w:val="20"/>
                <w:lang w:val="fr-CA"/>
              </w:rPr>
              <w:t>Ce mémorandum fournit des renseignements concernant l’administration et l’application de la Loi de 2001 sur l’accise et de la Loi sur les douanes (la Loi).</w:t>
            </w:r>
          </w:p>
        </w:tc>
      </w:tr>
      <w:tr w:rsidR="005413D6" w:rsidRPr="00CE70F3" w14:paraId="36761199" w14:textId="77777777" w:rsidTr="00F373A7">
        <w:trPr>
          <w:trHeight w:val="436"/>
        </w:trPr>
        <w:tc>
          <w:tcPr>
            <w:tcW w:w="6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FF0D49" w14:textId="77777777" w:rsidR="005413D6" w:rsidRPr="00295A04" w:rsidRDefault="005413D6" w:rsidP="005413D6">
            <w:pPr>
              <w:rPr>
                <w:rFonts w:cs="Arial"/>
                <w:b/>
                <w:sz w:val="20"/>
                <w:szCs w:val="20"/>
                <w:lang w:val="fr-CA" w:eastAsia="en-CA"/>
              </w:rPr>
            </w:pPr>
            <w:bookmarkStart w:id="88" w:name="lt_pId035"/>
            <w:r w:rsidRPr="00295A04">
              <w:rPr>
                <w:rFonts w:cs="Arial"/>
                <w:b/>
                <w:sz w:val="20"/>
                <w:szCs w:val="20"/>
                <w:lang w:val="fr-CA" w:eastAsia="en-CA"/>
              </w:rPr>
              <w:t>Objet</w:t>
            </w:r>
            <w:bookmarkEnd w:id="88"/>
          </w:p>
          <w:p w14:paraId="39AD6F47" w14:textId="77777777" w:rsidR="005413D6" w:rsidRPr="00295A04" w:rsidRDefault="005413D6" w:rsidP="005413D6">
            <w:pPr>
              <w:rPr>
                <w:rFonts w:cs="Arial"/>
                <w:sz w:val="20"/>
                <w:szCs w:val="20"/>
                <w:lang w:val="fr-CA" w:eastAsia="en-CA"/>
              </w:rPr>
            </w:pPr>
            <w:bookmarkStart w:id="89" w:name="lt_pId036"/>
            <w:r w:rsidRPr="00295A04">
              <w:rPr>
                <w:rFonts w:cs="Arial"/>
                <w:sz w:val="20"/>
                <w:szCs w:val="20"/>
                <w:lang w:val="fr-CA" w:eastAsia="en-CA"/>
              </w:rPr>
              <w:t xml:space="preserve">Recherchez ou parcourez par sujet le </w:t>
            </w:r>
            <w:hyperlink r:id="rId78" w:history="1">
              <w:r w:rsidRPr="00295A04">
                <w:rPr>
                  <w:rStyle w:val="Hyperlink"/>
                  <w:rFonts w:cs="Arial"/>
                  <w:sz w:val="20"/>
                  <w:szCs w:val="20"/>
                  <w:lang w:val="fr-CA"/>
                </w:rPr>
                <w:t>Thésaurus des sujets de base du GC</w:t>
              </w:r>
            </w:hyperlink>
            <w:r w:rsidRPr="00295A04">
              <w:rPr>
                <w:rStyle w:val="Hyperlink"/>
                <w:rFonts w:cs="Arial"/>
                <w:sz w:val="20"/>
                <w:szCs w:val="20"/>
                <w:lang w:val="fr-CA"/>
              </w:rPr>
              <w:t xml:space="preserve"> afin de déterminer les mots du vocabulaire contrôlé :</w:t>
            </w:r>
            <w:bookmarkEnd w:id="89"/>
            <w:r w:rsidRPr="00295A04">
              <w:rPr>
                <w:rFonts w:cs="Arial"/>
                <w:sz w:val="20"/>
                <w:szCs w:val="20"/>
                <w:lang w:val="fr-CA" w:eastAsia="en-CA"/>
              </w:rPr>
              <w:t xml:space="preserve"> </w:t>
            </w:r>
          </w:p>
          <w:p w14:paraId="49FC5BF8" w14:textId="4D92D4C1" w:rsidR="005413D6" w:rsidRPr="00295A04" w:rsidRDefault="00804A82" w:rsidP="005413D6">
            <w:pPr>
              <w:rPr>
                <w:rFonts w:cs="Arial"/>
                <w:b/>
                <w:sz w:val="20"/>
                <w:szCs w:val="20"/>
                <w:lang w:val="fr-CA" w:eastAsia="en-CA"/>
              </w:rPr>
            </w:pPr>
            <w:hyperlink r:id="rId79" w:history="1">
              <w:bookmarkStart w:id="90" w:name="lt_pId037"/>
              <w:r w:rsidR="005413D6" w:rsidRPr="00295A04">
                <w:rPr>
                  <w:rStyle w:val="Hyperlink"/>
                  <w:rFonts w:cs="Arial"/>
                  <w:sz w:val="20"/>
                  <w:szCs w:val="20"/>
                  <w:lang w:val="fr-CA"/>
                </w:rPr>
                <w:t>http://www.thesaurus.gc.ca/recherche-search/thes-fra.html</w:t>
              </w:r>
              <w:bookmarkEnd w:id="90"/>
            </w:hyperlink>
          </w:p>
        </w:tc>
        <w:tc>
          <w:tcPr>
            <w:tcW w:w="4701" w:type="dxa"/>
            <w:tcBorders>
              <w:top w:val="single" w:sz="4" w:space="0" w:color="auto"/>
              <w:left w:val="single" w:sz="4" w:space="0" w:color="auto"/>
              <w:bottom w:val="single" w:sz="4" w:space="0" w:color="auto"/>
              <w:right w:val="single" w:sz="4" w:space="0" w:color="auto"/>
            </w:tcBorders>
          </w:tcPr>
          <w:p w14:paraId="71612284" w14:textId="20CCB38B" w:rsidR="005413D6" w:rsidRPr="00295A04" w:rsidRDefault="004D7581" w:rsidP="004D7581">
            <w:pPr>
              <w:rPr>
                <w:rFonts w:cs="Arial"/>
                <w:sz w:val="20"/>
                <w:szCs w:val="20"/>
                <w:lang w:val="fr-CA"/>
              </w:rPr>
            </w:pPr>
            <w:r>
              <w:rPr>
                <w:rFonts w:cs="Arial"/>
                <w:sz w:val="20"/>
                <w:szCs w:val="20"/>
                <w:lang w:val="fr-CA"/>
              </w:rPr>
              <w:t xml:space="preserve">Politique, </w:t>
            </w:r>
            <w:r w:rsidR="00F373A7">
              <w:rPr>
                <w:rFonts w:cs="Arial"/>
                <w:sz w:val="20"/>
                <w:szCs w:val="20"/>
                <w:lang w:val="fr-CA"/>
              </w:rPr>
              <w:t xml:space="preserve">vapotage, timbre, </w:t>
            </w:r>
            <w:r w:rsidR="00BB656F" w:rsidRPr="00295A04">
              <w:rPr>
                <w:rFonts w:cs="Arial"/>
                <w:sz w:val="20"/>
                <w:szCs w:val="20"/>
                <w:lang w:val="fr-CA"/>
              </w:rPr>
              <w:t>douanes et accise</w:t>
            </w:r>
            <w:r>
              <w:rPr>
                <w:rFonts w:cs="Arial"/>
                <w:sz w:val="20"/>
                <w:szCs w:val="20"/>
                <w:lang w:val="fr-CA"/>
              </w:rPr>
              <w:t>.</w:t>
            </w:r>
          </w:p>
        </w:tc>
      </w:tr>
      <w:tr w:rsidR="005413D6" w:rsidRPr="00295A04" w14:paraId="3BCEBD5A" w14:textId="77777777" w:rsidTr="00F373A7">
        <w:trPr>
          <w:trHeight w:val="99"/>
        </w:trPr>
        <w:tc>
          <w:tcPr>
            <w:tcW w:w="6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8DE6EF" w14:textId="2620B60F" w:rsidR="005413D6" w:rsidRPr="00295A04" w:rsidRDefault="005413D6" w:rsidP="005413D6">
            <w:pPr>
              <w:rPr>
                <w:rFonts w:cs="Arial"/>
                <w:b/>
                <w:bCs/>
                <w:sz w:val="20"/>
                <w:szCs w:val="20"/>
                <w:lang w:val="fr-CA"/>
              </w:rPr>
            </w:pPr>
            <w:bookmarkStart w:id="91" w:name="lt_pId039"/>
            <w:r w:rsidRPr="00295A04">
              <w:rPr>
                <w:rFonts w:cs="Arial"/>
                <w:b/>
                <w:sz w:val="20"/>
                <w:szCs w:val="20"/>
                <w:lang w:val="fr-CA" w:eastAsia="en-CA"/>
              </w:rPr>
              <w:t>Mots clés</w:t>
            </w:r>
            <w:bookmarkEnd w:id="91"/>
          </w:p>
        </w:tc>
        <w:tc>
          <w:tcPr>
            <w:tcW w:w="4701" w:type="dxa"/>
            <w:tcBorders>
              <w:top w:val="single" w:sz="4" w:space="0" w:color="auto"/>
              <w:left w:val="single" w:sz="4" w:space="0" w:color="auto"/>
              <w:bottom w:val="single" w:sz="4" w:space="0" w:color="auto"/>
              <w:right w:val="single" w:sz="4" w:space="0" w:color="auto"/>
            </w:tcBorders>
          </w:tcPr>
          <w:p w14:paraId="60E13C2F" w14:textId="031EBC4E" w:rsidR="00BB656F" w:rsidRPr="00295A04" w:rsidRDefault="00BB656F" w:rsidP="00BB656F">
            <w:pPr>
              <w:rPr>
                <w:rFonts w:cs="Arial"/>
                <w:sz w:val="20"/>
                <w:szCs w:val="20"/>
                <w:lang w:val="fr-CA"/>
              </w:rPr>
            </w:pPr>
            <w:r w:rsidRPr="00295A04">
              <w:rPr>
                <w:rFonts w:cs="Arial"/>
                <w:sz w:val="20"/>
                <w:szCs w:val="20"/>
                <w:lang w:val="fr-CA"/>
              </w:rPr>
              <w:t>Mémorandum D, mémorandum, législation</w:t>
            </w:r>
          </w:p>
        </w:tc>
      </w:tr>
      <w:tr w:rsidR="008A40F2" w:rsidRPr="00CE70F3" w14:paraId="2C4567FC" w14:textId="77777777" w:rsidTr="00F373A7">
        <w:trPr>
          <w:trHeight w:val="434"/>
        </w:trPr>
        <w:tc>
          <w:tcPr>
            <w:tcW w:w="6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02B7DA" w14:textId="525A4FAA" w:rsidR="008A40F2" w:rsidRPr="00295A04" w:rsidRDefault="005413D6" w:rsidP="00AD4507">
            <w:pPr>
              <w:rPr>
                <w:rFonts w:cs="Arial"/>
                <w:sz w:val="20"/>
                <w:szCs w:val="20"/>
                <w:lang w:val="fr-CA" w:eastAsia="en-CA"/>
              </w:rPr>
            </w:pPr>
            <w:bookmarkStart w:id="92" w:name="lt_pId045"/>
            <w:r w:rsidRPr="00295A04">
              <w:rPr>
                <w:rFonts w:cs="Arial"/>
                <w:b/>
                <w:sz w:val="20"/>
                <w:szCs w:val="20"/>
                <w:lang w:val="fr-CA" w:eastAsia="en-CA"/>
              </w:rPr>
              <w:t>Responsable du contenu</w:t>
            </w:r>
            <w:bookmarkEnd w:id="92"/>
            <w:r w:rsidRPr="00295A04">
              <w:rPr>
                <w:rFonts w:cs="Arial"/>
                <w:b/>
                <w:sz w:val="20"/>
                <w:szCs w:val="20"/>
                <w:lang w:val="fr-CA" w:eastAsia="en-CA"/>
              </w:rPr>
              <w:t xml:space="preserve">  </w:t>
            </w:r>
            <w:r w:rsidRPr="00295A04">
              <w:rPr>
                <w:rFonts w:cs="Arial"/>
                <w:b/>
                <w:sz w:val="20"/>
                <w:szCs w:val="20"/>
                <w:lang w:val="fr-CA" w:eastAsia="en-CA"/>
              </w:rPr>
              <w:br/>
            </w:r>
            <w:bookmarkStart w:id="93" w:name="lt_pId046"/>
            <w:r w:rsidRPr="00295A04">
              <w:rPr>
                <w:rStyle w:val="Hyperlink"/>
                <w:rFonts w:cs="Arial"/>
                <w:sz w:val="20"/>
                <w:szCs w:val="20"/>
                <w:lang w:val="fr-CA" w:eastAsia="en-CA"/>
              </w:rPr>
              <w:t xml:space="preserve">Copiez et collez la valeur à partir de </w:t>
            </w:r>
            <w:hyperlink r:id="rId80" w:history="1">
              <w:r w:rsidRPr="00295A04">
                <w:rPr>
                  <w:rStyle w:val="Hyperlink"/>
                  <w:rFonts w:cs="Arial"/>
                  <w:sz w:val="20"/>
                  <w:szCs w:val="20"/>
                  <w:lang w:val="fr-CA" w:eastAsia="en-CA"/>
                </w:rPr>
                <w:t>l’outil de sélection des propriétaires de contenu</w:t>
              </w:r>
            </w:hyperlink>
            <w:r w:rsidRPr="00295A04">
              <w:rPr>
                <w:rStyle w:val="Hyperlink"/>
                <w:rFonts w:cs="Arial"/>
                <w:sz w:val="20"/>
                <w:szCs w:val="20"/>
                <w:lang w:val="fr-CA" w:eastAsia="en-CA"/>
              </w:rPr>
              <w:t>.</w:t>
            </w:r>
            <w:bookmarkEnd w:id="93"/>
          </w:p>
        </w:tc>
        <w:tc>
          <w:tcPr>
            <w:tcW w:w="4701" w:type="dxa"/>
            <w:tcBorders>
              <w:top w:val="single" w:sz="4" w:space="0" w:color="auto"/>
              <w:left w:val="single" w:sz="4" w:space="0" w:color="auto"/>
              <w:bottom w:val="single" w:sz="4" w:space="0" w:color="auto"/>
              <w:right w:val="single" w:sz="4" w:space="0" w:color="auto"/>
            </w:tcBorders>
          </w:tcPr>
          <w:p w14:paraId="0053DCAC" w14:textId="665B3AE0" w:rsidR="008A40F2" w:rsidRPr="00295A04" w:rsidRDefault="005413D6" w:rsidP="00AD4507">
            <w:pPr>
              <w:rPr>
                <w:rFonts w:cs="Arial"/>
                <w:sz w:val="20"/>
                <w:szCs w:val="20"/>
                <w:lang w:val="fr-CA" w:eastAsia="en-CA"/>
              </w:rPr>
            </w:pPr>
            <w:r w:rsidRPr="00295A04">
              <w:rPr>
                <w:rFonts w:cs="Arial"/>
                <w:sz w:val="20"/>
                <w:szCs w:val="20"/>
                <w:lang w:val="fr-CA" w:eastAsia="en-CA"/>
              </w:rPr>
              <w:t>Agence des services frontaliers du Canada</w:t>
            </w:r>
          </w:p>
        </w:tc>
      </w:tr>
    </w:tbl>
    <w:p w14:paraId="5F7ABCB0" w14:textId="40EFCFD0" w:rsidR="00165196" w:rsidRPr="00295A04" w:rsidRDefault="00165196" w:rsidP="00AD4507">
      <w:pPr>
        <w:rPr>
          <w:lang w:val="fr-CA" w:eastAsia="en-CA"/>
        </w:rPr>
      </w:pPr>
    </w:p>
    <w:sectPr w:rsidR="00165196" w:rsidRPr="00295A04" w:rsidSect="003A177C">
      <w:headerReference w:type="even" r:id="rId81"/>
      <w:headerReference w:type="default" r:id="rId82"/>
      <w:headerReference w:type="first" r:id="rId83"/>
      <w:pgSz w:w="15840" w:h="24480"/>
      <w:pgMar w:top="720" w:right="3933" w:bottom="720" w:left="720" w:header="56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7A545" w14:textId="77777777" w:rsidR="004065EC" w:rsidRDefault="004065EC" w:rsidP="00AD4507">
      <w:r>
        <w:separator/>
      </w:r>
    </w:p>
  </w:endnote>
  <w:endnote w:type="continuationSeparator" w:id="0">
    <w:p w14:paraId="03754A5D" w14:textId="77777777" w:rsidR="004065EC" w:rsidRDefault="004065EC" w:rsidP="00AD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FCA94" w14:textId="77777777" w:rsidR="004065EC" w:rsidRDefault="004065EC" w:rsidP="00AD4507">
      <w:r>
        <w:separator/>
      </w:r>
    </w:p>
  </w:footnote>
  <w:footnote w:type="continuationSeparator" w:id="0">
    <w:p w14:paraId="18B945BB" w14:textId="77777777" w:rsidR="004065EC" w:rsidRDefault="004065EC" w:rsidP="00AD4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C36CD" w14:textId="5EF93692" w:rsidR="00FA276D" w:rsidRDefault="00CE70F3">
    <w:pPr>
      <w:pStyle w:val="Header"/>
    </w:pPr>
    <w:r>
      <w:rPr>
        <w:noProof/>
      </w:rPr>
      <w:pict w14:anchorId="4D29FD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2001" o:spid="_x0000_s2050" type="#_x0000_t136" style="position:absolute;margin-left:0;margin-top:0;width:667.3pt;height:121.3pt;rotation:315;z-index:-251655168;mso-position-horizontal:center;mso-position-horizontal-relative:margin;mso-position-vertical:center;mso-position-vertical-relative:margin" o:allowincell="f" fillcolor="silver" stroked="f">
          <v:fill opacity=".5"/>
          <v:textpath style="font-family:&quot;Arial&quot;;font-size:1pt" string="BROUILL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075A0" w14:textId="2C4168E4" w:rsidR="00FA276D" w:rsidRDefault="00CE70F3">
    <w:pPr>
      <w:pStyle w:val="Header"/>
    </w:pPr>
    <w:r>
      <w:rPr>
        <w:noProof/>
      </w:rPr>
      <w:pict w14:anchorId="1A077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2002" o:spid="_x0000_s2051" type="#_x0000_t136" style="position:absolute;margin-left:0;margin-top:0;width:667.3pt;height:121.3pt;rotation:315;z-index:-251653120;mso-position-horizontal:center;mso-position-horizontal-relative:margin;mso-position-vertical:center;mso-position-vertical-relative:margin" o:allowincell="f" fillcolor="silver" stroked="f">
          <v:fill opacity=".5"/>
          <v:textpath style="font-family:&quot;Arial&quot;;font-size:1pt" string="BROUILL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Look w:val="04A0" w:firstRow="1" w:lastRow="0" w:firstColumn="1" w:lastColumn="0" w:noHBand="0" w:noVBand="1"/>
    </w:tblPr>
    <w:tblGrid>
      <w:gridCol w:w="8075"/>
      <w:gridCol w:w="2715"/>
    </w:tblGrid>
    <w:tr w:rsidR="00FA276D" w:rsidRPr="0049514D" w14:paraId="707C30CB" w14:textId="77777777" w:rsidTr="006E7BCF">
      <w:tc>
        <w:tcPr>
          <w:tcW w:w="8075" w:type="dxa"/>
        </w:tcPr>
        <w:p w14:paraId="45354CBB" w14:textId="77777777" w:rsidR="00FA276D" w:rsidRPr="0049514D" w:rsidRDefault="00FA276D" w:rsidP="00AD4507">
          <w:pPr>
            <w:pStyle w:val="Header"/>
          </w:pPr>
          <w:r>
            <w:t>WORD TEMPLATE FOR GENERIC PAGE - ENGLISH</w:t>
          </w:r>
        </w:p>
      </w:tc>
      <w:tc>
        <w:tcPr>
          <w:tcW w:w="2715" w:type="dxa"/>
        </w:tcPr>
        <w:p w14:paraId="28CD8BE2" w14:textId="77777777" w:rsidR="00FA276D" w:rsidRPr="0049514D" w:rsidRDefault="00FA276D" w:rsidP="00AD4507">
          <w:pPr>
            <w:pStyle w:val="Header"/>
          </w:pPr>
          <w:r>
            <w:t xml:space="preserve">Template </w:t>
          </w:r>
          <w:r w:rsidRPr="0049514D">
            <w:t>V</w:t>
          </w:r>
          <w:r>
            <w:t>ersion: 1</w:t>
          </w:r>
          <w:r w:rsidRPr="0049514D">
            <w:t>.</w:t>
          </w:r>
          <w:r>
            <w:t>3.1.0</w:t>
          </w:r>
        </w:p>
      </w:tc>
    </w:tr>
  </w:tbl>
  <w:p w14:paraId="6768D7D3" w14:textId="6C9967BA" w:rsidR="00FA276D" w:rsidRPr="0026200D" w:rsidRDefault="00CE70F3" w:rsidP="00AD4507">
    <w:pPr>
      <w:pStyle w:val="Header"/>
      <w:rPr>
        <w:lang w:val="fr-FR"/>
      </w:rPr>
    </w:pPr>
    <w:r>
      <w:rPr>
        <w:noProof/>
      </w:rPr>
      <w:pict w14:anchorId="43F01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2000" o:spid="_x0000_s2049" type="#_x0000_t136" style="position:absolute;margin-left:0;margin-top:0;width:667.3pt;height:121.3pt;rotation:315;z-index:-251657216;mso-position-horizontal:center;mso-position-horizontal-relative:margin;mso-position-vertical:center;mso-position-vertical-relative:margin" o:allowincell="f" fillcolor="silver" stroked="f">
          <v:fill opacity=".5"/>
          <v:textpath style="font-family:&quot;Arial&quot;;font-size:1pt" string="BROUILL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0020A"/>
    <w:multiLevelType w:val="hybridMultilevel"/>
    <w:tmpl w:val="63EA899C"/>
    <w:lvl w:ilvl="0" w:tplc="12884340">
      <w:start w:val="2"/>
      <w:numFmt w:val="bullet"/>
      <w:lvlText w:val="•"/>
      <w:lvlJc w:val="left"/>
      <w:pPr>
        <w:ind w:left="644" w:hanging="360"/>
      </w:pPr>
      <w:rPr>
        <w:rFonts w:ascii="Arial" w:eastAsiaTheme="minorHAnsi" w:hAnsi="Arial" w:cs="Aria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 w15:restartNumberingAfterBreak="0">
    <w:nsid w:val="1711187F"/>
    <w:multiLevelType w:val="hybridMultilevel"/>
    <w:tmpl w:val="C4CA0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295C84"/>
    <w:multiLevelType w:val="hybridMultilevel"/>
    <w:tmpl w:val="0D224A1C"/>
    <w:lvl w:ilvl="0" w:tplc="6B562C48">
      <w:numFmt w:val="bullet"/>
      <w:lvlText w:val=""/>
      <w:lvlJc w:val="left"/>
      <w:pPr>
        <w:ind w:left="254" w:hanging="144"/>
      </w:pPr>
      <w:rPr>
        <w:rFonts w:ascii="Symbol" w:eastAsia="Symbol" w:hAnsi="Symbol" w:cs="Symbol" w:hint="default"/>
        <w:w w:val="100"/>
        <w:sz w:val="16"/>
        <w:szCs w:val="16"/>
        <w:lang w:val="fr-FR" w:eastAsia="fr-FR" w:bidi="fr-FR"/>
      </w:rPr>
    </w:lvl>
    <w:lvl w:ilvl="1" w:tplc="2EAE3D94">
      <w:numFmt w:val="bullet"/>
      <w:lvlText w:val="•"/>
      <w:lvlJc w:val="left"/>
      <w:pPr>
        <w:ind w:left="501" w:hanging="144"/>
      </w:pPr>
      <w:rPr>
        <w:rFonts w:hint="default"/>
        <w:lang w:val="fr-FR" w:eastAsia="fr-FR" w:bidi="fr-FR"/>
      </w:rPr>
    </w:lvl>
    <w:lvl w:ilvl="2" w:tplc="DA9AD6AE">
      <w:numFmt w:val="bullet"/>
      <w:lvlText w:val="•"/>
      <w:lvlJc w:val="left"/>
      <w:pPr>
        <w:ind w:left="742" w:hanging="144"/>
      </w:pPr>
      <w:rPr>
        <w:rFonts w:hint="default"/>
        <w:lang w:val="fr-FR" w:eastAsia="fr-FR" w:bidi="fr-FR"/>
      </w:rPr>
    </w:lvl>
    <w:lvl w:ilvl="3" w:tplc="5786222A">
      <w:numFmt w:val="bullet"/>
      <w:lvlText w:val="•"/>
      <w:lvlJc w:val="left"/>
      <w:pPr>
        <w:ind w:left="983" w:hanging="144"/>
      </w:pPr>
      <w:rPr>
        <w:rFonts w:hint="default"/>
        <w:lang w:val="fr-FR" w:eastAsia="fr-FR" w:bidi="fr-FR"/>
      </w:rPr>
    </w:lvl>
    <w:lvl w:ilvl="4" w:tplc="EB8858CC">
      <w:numFmt w:val="bullet"/>
      <w:lvlText w:val="•"/>
      <w:lvlJc w:val="left"/>
      <w:pPr>
        <w:ind w:left="1224" w:hanging="144"/>
      </w:pPr>
      <w:rPr>
        <w:rFonts w:hint="default"/>
        <w:lang w:val="fr-FR" w:eastAsia="fr-FR" w:bidi="fr-FR"/>
      </w:rPr>
    </w:lvl>
    <w:lvl w:ilvl="5" w:tplc="E3FE0EC8">
      <w:numFmt w:val="bullet"/>
      <w:lvlText w:val="•"/>
      <w:lvlJc w:val="left"/>
      <w:pPr>
        <w:ind w:left="1465" w:hanging="144"/>
      </w:pPr>
      <w:rPr>
        <w:rFonts w:hint="default"/>
        <w:lang w:val="fr-FR" w:eastAsia="fr-FR" w:bidi="fr-FR"/>
      </w:rPr>
    </w:lvl>
    <w:lvl w:ilvl="6" w:tplc="55DE80C0">
      <w:numFmt w:val="bullet"/>
      <w:lvlText w:val="•"/>
      <w:lvlJc w:val="left"/>
      <w:pPr>
        <w:ind w:left="1706" w:hanging="144"/>
      </w:pPr>
      <w:rPr>
        <w:rFonts w:hint="default"/>
        <w:lang w:val="fr-FR" w:eastAsia="fr-FR" w:bidi="fr-FR"/>
      </w:rPr>
    </w:lvl>
    <w:lvl w:ilvl="7" w:tplc="BD1C80F8">
      <w:numFmt w:val="bullet"/>
      <w:lvlText w:val="•"/>
      <w:lvlJc w:val="left"/>
      <w:pPr>
        <w:ind w:left="1947" w:hanging="144"/>
      </w:pPr>
      <w:rPr>
        <w:rFonts w:hint="default"/>
        <w:lang w:val="fr-FR" w:eastAsia="fr-FR" w:bidi="fr-FR"/>
      </w:rPr>
    </w:lvl>
    <w:lvl w:ilvl="8" w:tplc="0F185ECC">
      <w:numFmt w:val="bullet"/>
      <w:lvlText w:val="•"/>
      <w:lvlJc w:val="left"/>
      <w:pPr>
        <w:ind w:left="2188" w:hanging="144"/>
      </w:pPr>
      <w:rPr>
        <w:rFonts w:hint="default"/>
        <w:lang w:val="fr-FR" w:eastAsia="fr-FR" w:bidi="fr-FR"/>
      </w:rPr>
    </w:lvl>
  </w:abstractNum>
  <w:abstractNum w:abstractNumId="3" w15:restartNumberingAfterBreak="0">
    <w:nsid w:val="23BB06B7"/>
    <w:multiLevelType w:val="hybridMultilevel"/>
    <w:tmpl w:val="A4C257EE"/>
    <w:lvl w:ilvl="0" w:tplc="BDBA3276">
      <w:numFmt w:val="bullet"/>
      <w:lvlText w:val=""/>
      <w:lvlJc w:val="left"/>
      <w:pPr>
        <w:ind w:left="260" w:hanging="145"/>
      </w:pPr>
      <w:rPr>
        <w:rFonts w:ascii="Symbol" w:eastAsia="Symbol" w:hAnsi="Symbol" w:cs="Symbol" w:hint="default"/>
        <w:w w:val="100"/>
        <w:sz w:val="16"/>
        <w:szCs w:val="16"/>
        <w:lang w:val="fr-FR" w:eastAsia="fr-FR" w:bidi="fr-FR"/>
      </w:rPr>
    </w:lvl>
    <w:lvl w:ilvl="1" w:tplc="4CA02278">
      <w:numFmt w:val="bullet"/>
      <w:lvlText w:val="•"/>
      <w:lvlJc w:val="left"/>
      <w:pPr>
        <w:ind w:left="497" w:hanging="145"/>
      </w:pPr>
      <w:rPr>
        <w:rFonts w:hint="default"/>
        <w:lang w:val="fr-FR" w:eastAsia="fr-FR" w:bidi="fr-FR"/>
      </w:rPr>
    </w:lvl>
    <w:lvl w:ilvl="2" w:tplc="E1700C16">
      <w:numFmt w:val="bullet"/>
      <w:lvlText w:val="•"/>
      <w:lvlJc w:val="left"/>
      <w:pPr>
        <w:ind w:left="735" w:hanging="145"/>
      </w:pPr>
      <w:rPr>
        <w:rFonts w:hint="default"/>
        <w:lang w:val="fr-FR" w:eastAsia="fr-FR" w:bidi="fr-FR"/>
      </w:rPr>
    </w:lvl>
    <w:lvl w:ilvl="3" w:tplc="183C30F2">
      <w:numFmt w:val="bullet"/>
      <w:lvlText w:val="•"/>
      <w:lvlJc w:val="left"/>
      <w:pPr>
        <w:ind w:left="973" w:hanging="145"/>
      </w:pPr>
      <w:rPr>
        <w:rFonts w:hint="default"/>
        <w:lang w:val="fr-FR" w:eastAsia="fr-FR" w:bidi="fr-FR"/>
      </w:rPr>
    </w:lvl>
    <w:lvl w:ilvl="4" w:tplc="1FE84B1C">
      <w:numFmt w:val="bullet"/>
      <w:lvlText w:val="•"/>
      <w:lvlJc w:val="left"/>
      <w:pPr>
        <w:ind w:left="1211" w:hanging="145"/>
      </w:pPr>
      <w:rPr>
        <w:rFonts w:hint="default"/>
        <w:lang w:val="fr-FR" w:eastAsia="fr-FR" w:bidi="fr-FR"/>
      </w:rPr>
    </w:lvl>
    <w:lvl w:ilvl="5" w:tplc="D83C36F4">
      <w:numFmt w:val="bullet"/>
      <w:lvlText w:val="•"/>
      <w:lvlJc w:val="left"/>
      <w:pPr>
        <w:ind w:left="1449" w:hanging="145"/>
      </w:pPr>
      <w:rPr>
        <w:rFonts w:hint="default"/>
        <w:lang w:val="fr-FR" w:eastAsia="fr-FR" w:bidi="fr-FR"/>
      </w:rPr>
    </w:lvl>
    <w:lvl w:ilvl="6" w:tplc="984C252E">
      <w:numFmt w:val="bullet"/>
      <w:lvlText w:val="•"/>
      <w:lvlJc w:val="left"/>
      <w:pPr>
        <w:ind w:left="1687" w:hanging="145"/>
      </w:pPr>
      <w:rPr>
        <w:rFonts w:hint="default"/>
        <w:lang w:val="fr-FR" w:eastAsia="fr-FR" w:bidi="fr-FR"/>
      </w:rPr>
    </w:lvl>
    <w:lvl w:ilvl="7" w:tplc="A9E2EE5E">
      <w:numFmt w:val="bullet"/>
      <w:lvlText w:val="•"/>
      <w:lvlJc w:val="left"/>
      <w:pPr>
        <w:ind w:left="1925" w:hanging="145"/>
      </w:pPr>
      <w:rPr>
        <w:rFonts w:hint="default"/>
        <w:lang w:val="fr-FR" w:eastAsia="fr-FR" w:bidi="fr-FR"/>
      </w:rPr>
    </w:lvl>
    <w:lvl w:ilvl="8" w:tplc="51CC5C18">
      <w:numFmt w:val="bullet"/>
      <w:lvlText w:val="•"/>
      <w:lvlJc w:val="left"/>
      <w:pPr>
        <w:ind w:left="2163" w:hanging="145"/>
      </w:pPr>
      <w:rPr>
        <w:rFonts w:hint="default"/>
        <w:lang w:val="fr-FR" w:eastAsia="fr-FR" w:bidi="fr-FR"/>
      </w:rPr>
    </w:lvl>
  </w:abstractNum>
  <w:abstractNum w:abstractNumId="4" w15:restartNumberingAfterBreak="0">
    <w:nsid w:val="33ED5358"/>
    <w:multiLevelType w:val="hybridMultilevel"/>
    <w:tmpl w:val="78B2B5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6127BE1"/>
    <w:multiLevelType w:val="hybridMultilevel"/>
    <w:tmpl w:val="C5C6CA0C"/>
    <w:lvl w:ilvl="0" w:tplc="9A067AF0">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6B927E0"/>
    <w:multiLevelType w:val="hybridMultilevel"/>
    <w:tmpl w:val="3190EF2A"/>
    <w:lvl w:ilvl="0" w:tplc="10090001">
      <w:start w:val="1"/>
      <w:numFmt w:val="bullet"/>
      <w:lvlText w:val=""/>
      <w:lvlJc w:val="left"/>
      <w:pPr>
        <w:ind w:left="644" w:hanging="360"/>
      </w:pPr>
      <w:rPr>
        <w:rFonts w:ascii="Symbol" w:hAnsi="Symbol" w:hint="default"/>
      </w:rPr>
    </w:lvl>
    <w:lvl w:ilvl="1" w:tplc="0C0C0003">
      <w:start w:val="1"/>
      <w:numFmt w:val="bullet"/>
      <w:lvlText w:val="o"/>
      <w:lvlJc w:val="left"/>
      <w:pPr>
        <w:ind w:left="1364" w:hanging="360"/>
      </w:pPr>
      <w:rPr>
        <w:rFonts w:ascii="Courier New" w:hAnsi="Courier New" w:cs="Courier New" w:hint="default"/>
      </w:rPr>
    </w:lvl>
    <w:lvl w:ilvl="2" w:tplc="0C0C0005">
      <w:start w:val="1"/>
      <w:numFmt w:val="bullet"/>
      <w:lvlText w:val=""/>
      <w:lvlJc w:val="left"/>
      <w:pPr>
        <w:ind w:left="2084" w:hanging="360"/>
      </w:pPr>
      <w:rPr>
        <w:rFonts w:ascii="Wingdings" w:hAnsi="Wingdings" w:hint="default"/>
      </w:rPr>
    </w:lvl>
    <w:lvl w:ilvl="3" w:tplc="0C0C0001">
      <w:start w:val="1"/>
      <w:numFmt w:val="bullet"/>
      <w:lvlText w:val=""/>
      <w:lvlJc w:val="left"/>
      <w:pPr>
        <w:ind w:left="2804" w:hanging="360"/>
      </w:pPr>
      <w:rPr>
        <w:rFonts w:ascii="Symbol" w:hAnsi="Symbol" w:hint="default"/>
      </w:rPr>
    </w:lvl>
    <w:lvl w:ilvl="4" w:tplc="0C0C0003">
      <w:start w:val="1"/>
      <w:numFmt w:val="bullet"/>
      <w:lvlText w:val="o"/>
      <w:lvlJc w:val="left"/>
      <w:pPr>
        <w:ind w:left="3524" w:hanging="360"/>
      </w:pPr>
      <w:rPr>
        <w:rFonts w:ascii="Courier New" w:hAnsi="Courier New" w:cs="Courier New" w:hint="default"/>
      </w:rPr>
    </w:lvl>
    <w:lvl w:ilvl="5" w:tplc="0C0C0005">
      <w:start w:val="1"/>
      <w:numFmt w:val="bullet"/>
      <w:lvlText w:val=""/>
      <w:lvlJc w:val="left"/>
      <w:pPr>
        <w:ind w:left="4244" w:hanging="360"/>
      </w:pPr>
      <w:rPr>
        <w:rFonts w:ascii="Wingdings" w:hAnsi="Wingdings" w:hint="default"/>
      </w:rPr>
    </w:lvl>
    <w:lvl w:ilvl="6" w:tplc="0C0C0001">
      <w:start w:val="1"/>
      <w:numFmt w:val="bullet"/>
      <w:lvlText w:val=""/>
      <w:lvlJc w:val="left"/>
      <w:pPr>
        <w:ind w:left="4964" w:hanging="360"/>
      </w:pPr>
      <w:rPr>
        <w:rFonts w:ascii="Symbol" w:hAnsi="Symbol" w:hint="default"/>
      </w:rPr>
    </w:lvl>
    <w:lvl w:ilvl="7" w:tplc="0C0C0003">
      <w:start w:val="1"/>
      <w:numFmt w:val="bullet"/>
      <w:lvlText w:val="o"/>
      <w:lvlJc w:val="left"/>
      <w:pPr>
        <w:ind w:left="5684" w:hanging="360"/>
      </w:pPr>
      <w:rPr>
        <w:rFonts w:ascii="Courier New" w:hAnsi="Courier New" w:cs="Courier New" w:hint="default"/>
      </w:rPr>
    </w:lvl>
    <w:lvl w:ilvl="8" w:tplc="0C0C0005">
      <w:start w:val="1"/>
      <w:numFmt w:val="bullet"/>
      <w:lvlText w:val=""/>
      <w:lvlJc w:val="left"/>
      <w:pPr>
        <w:ind w:left="6404" w:hanging="360"/>
      </w:pPr>
      <w:rPr>
        <w:rFonts w:ascii="Wingdings" w:hAnsi="Wingdings" w:hint="default"/>
      </w:rPr>
    </w:lvl>
  </w:abstractNum>
  <w:abstractNum w:abstractNumId="7" w15:restartNumberingAfterBreak="0">
    <w:nsid w:val="45422B5C"/>
    <w:multiLevelType w:val="hybridMultilevel"/>
    <w:tmpl w:val="CDB2CB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F4A21EC"/>
    <w:multiLevelType w:val="hybridMultilevel"/>
    <w:tmpl w:val="25DA7F52"/>
    <w:lvl w:ilvl="0" w:tplc="CD12E81C">
      <w:numFmt w:val="bullet"/>
      <w:lvlText w:val=""/>
      <w:lvlJc w:val="left"/>
      <w:pPr>
        <w:ind w:left="262" w:hanging="145"/>
      </w:pPr>
      <w:rPr>
        <w:rFonts w:ascii="Symbol" w:eastAsia="Symbol" w:hAnsi="Symbol" w:cs="Symbol" w:hint="default"/>
        <w:w w:val="100"/>
        <w:sz w:val="16"/>
        <w:szCs w:val="16"/>
        <w:lang w:val="fr-FR" w:eastAsia="fr-FR" w:bidi="fr-FR"/>
      </w:rPr>
    </w:lvl>
    <w:lvl w:ilvl="1" w:tplc="28442EA4">
      <w:numFmt w:val="bullet"/>
      <w:lvlText w:val="•"/>
      <w:lvlJc w:val="left"/>
      <w:pPr>
        <w:ind w:left="503" w:hanging="145"/>
      </w:pPr>
      <w:rPr>
        <w:rFonts w:hint="default"/>
        <w:lang w:val="fr-FR" w:eastAsia="fr-FR" w:bidi="fr-FR"/>
      </w:rPr>
    </w:lvl>
    <w:lvl w:ilvl="2" w:tplc="CB9A6C8E">
      <w:numFmt w:val="bullet"/>
      <w:lvlText w:val="•"/>
      <w:lvlJc w:val="left"/>
      <w:pPr>
        <w:ind w:left="747" w:hanging="145"/>
      </w:pPr>
      <w:rPr>
        <w:rFonts w:hint="default"/>
        <w:lang w:val="fr-FR" w:eastAsia="fr-FR" w:bidi="fr-FR"/>
      </w:rPr>
    </w:lvl>
    <w:lvl w:ilvl="3" w:tplc="1BA4CB14">
      <w:numFmt w:val="bullet"/>
      <w:lvlText w:val="•"/>
      <w:lvlJc w:val="left"/>
      <w:pPr>
        <w:ind w:left="990" w:hanging="145"/>
      </w:pPr>
      <w:rPr>
        <w:rFonts w:hint="default"/>
        <w:lang w:val="fr-FR" w:eastAsia="fr-FR" w:bidi="fr-FR"/>
      </w:rPr>
    </w:lvl>
    <w:lvl w:ilvl="4" w:tplc="33A48D90">
      <w:numFmt w:val="bullet"/>
      <w:lvlText w:val="•"/>
      <w:lvlJc w:val="left"/>
      <w:pPr>
        <w:ind w:left="1234" w:hanging="145"/>
      </w:pPr>
      <w:rPr>
        <w:rFonts w:hint="default"/>
        <w:lang w:val="fr-FR" w:eastAsia="fr-FR" w:bidi="fr-FR"/>
      </w:rPr>
    </w:lvl>
    <w:lvl w:ilvl="5" w:tplc="52980C60">
      <w:numFmt w:val="bullet"/>
      <w:lvlText w:val="•"/>
      <w:lvlJc w:val="left"/>
      <w:pPr>
        <w:ind w:left="1478" w:hanging="145"/>
      </w:pPr>
      <w:rPr>
        <w:rFonts w:hint="default"/>
        <w:lang w:val="fr-FR" w:eastAsia="fr-FR" w:bidi="fr-FR"/>
      </w:rPr>
    </w:lvl>
    <w:lvl w:ilvl="6" w:tplc="192E4122">
      <w:numFmt w:val="bullet"/>
      <w:lvlText w:val="•"/>
      <w:lvlJc w:val="left"/>
      <w:pPr>
        <w:ind w:left="1721" w:hanging="145"/>
      </w:pPr>
      <w:rPr>
        <w:rFonts w:hint="default"/>
        <w:lang w:val="fr-FR" w:eastAsia="fr-FR" w:bidi="fr-FR"/>
      </w:rPr>
    </w:lvl>
    <w:lvl w:ilvl="7" w:tplc="3EC2F1A6">
      <w:numFmt w:val="bullet"/>
      <w:lvlText w:val="•"/>
      <w:lvlJc w:val="left"/>
      <w:pPr>
        <w:ind w:left="1965" w:hanging="145"/>
      </w:pPr>
      <w:rPr>
        <w:rFonts w:hint="default"/>
        <w:lang w:val="fr-FR" w:eastAsia="fr-FR" w:bidi="fr-FR"/>
      </w:rPr>
    </w:lvl>
    <w:lvl w:ilvl="8" w:tplc="0FA44AE0">
      <w:numFmt w:val="bullet"/>
      <w:lvlText w:val="•"/>
      <w:lvlJc w:val="left"/>
      <w:pPr>
        <w:ind w:left="2208" w:hanging="145"/>
      </w:pPr>
      <w:rPr>
        <w:rFonts w:hint="default"/>
        <w:lang w:val="fr-FR" w:eastAsia="fr-FR" w:bidi="fr-FR"/>
      </w:rPr>
    </w:lvl>
  </w:abstractNum>
  <w:abstractNum w:abstractNumId="9" w15:restartNumberingAfterBreak="0">
    <w:nsid w:val="5C63143D"/>
    <w:multiLevelType w:val="hybridMultilevel"/>
    <w:tmpl w:val="2014E9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D322107"/>
    <w:multiLevelType w:val="hybridMultilevel"/>
    <w:tmpl w:val="61DCC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BC4A20"/>
    <w:multiLevelType w:val="hybridMultilevel"/>
    <w:tmpl w:val="D5EE88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85A63EA"/>
    <w:multiLevelType w:val="hybridMultilevel"/>
    <w:tmpl w:val="B808AB1C"/>
    <w:lvl w:ilvl="0" w:tplc="D3168C0E">
      <w:numFmt w:val="bullet"/>
      <w:lvlText w:val=""/>
      <w:lvlJc w:val="left"/>
      <w:pPr>
        <w:ind w:left="719" w:hanging="369"/>
      </w:pPr>
      <w:rPr>
        <w:rFonts w:ascii="Symbol" w:eastAsia="Symbol" w:hAnsi="Symbol" w:cs="Symbol" w:hint="default"/>
        <w:w w:val="100"/>
        <w:sz w:val="16"/>
        <w:szCs w:val="16"/>
        <w:lang w:val="fr-FR" w:eastAsia="fr-FR" w:bidi="fr-FR"/>
      </w:rPr>
    </w:lvl>
    <w:lvl w:ilvl="1" w:tplc="578896D2">
      <w:numFmt w:val="bullet"/>
      <w:lvlText w:val="•"/>
      <w:lvlJc w:val="left"/>
      <w:pPr>
        <w:ind w:left="1084" w:hanging="369"/>
      </w:pPr>
      <w:rPr>
        <w:rFonts w:hint="default"/>
        <w:lang w:val="fr-FR" w:eastAsia="fr-FR" w:bidi="fr-FR"/>
      </w:rPr>
    </w:lvl>
    <w:lvl w:ilvl="2" w:tplc="5AF24B86">
      <w:numFmt w:val="bullet"/>
      <w:lvlText w:val="•"/>
      <w:lvlJc w:val="left"/>
      <w:pPr>
        <w:ind w:left="1448" w:hanging="369"/>
      </w:pPr>
      <w:rPr>
        <w:rFonts w:hint="default"/>
        <w:lang w:val="fr-FR" w:eastAsia="fr-FR" w:bidi="fr-FR"/>
      </w:rPr>
    </w:lvl>
    <w:lvl w:ilvl="3" w:tplc="AC24790C">
      <w:numFmt w:val="bullet"/>
      <w:lvlText w:val="•"/>
      <w:lvlJc w:val="left"/>
      <w:pPr>
        <w:ind w:left="1812" w:hanging="369"/>
      </w:pPr>
      <w:rPr>
        <w:rFonts w:hint="default"/>
        <w:lang w:val="fr-FR" w:eastAsia="fr-FR" w:bidi="fr-FR"/>
      </w:rPr>
    </w:lvl>
    <w:lvl w:ilvl="4" w:tplc="42F04D62">
      <w:numFmt w:val="bullet"/>
      <w:lvlText w:val="•"/>
      <w:lvlJc w:val="left"/>
      <w:pPr>
        <w:ind w:left="2176" w:hanging="369"/>
      </w:pPr>
      <w:rPr>
        <w:rFonts w:hint="default"/>
        <w:lang w:val="fr-FR" w:eastAsia="fr-FR" w:bidi="fr-FR"/>
      </w:rPr>
    </w:lvl>
    <w:lvl w:ilvl="5" w:tplc="3816024A">
      <w:numFmt w:val="bullet"/>
      <w:lvlText w:val="•"/>
      <w:lvlJc w:val="left"/>
      <w:pPr>
        <w:ind w:left="2540" w:hanging="369"/>
      </w:pPr>
      <w:rPr>
        <w:rFonts w:hint="default"/>
        <w:lang w:val="fr-FR" w:eastAsia="fr-FR" w:bidi="fr-FR"/>
      </w:rPr>
    </w:lvl>
    <w:lvl w:ilvl="6" w:tplc="34B8F6D2">
      <w:numFmt w:val="bullet"/>
      <w:lvlText w:val="•"/>
      <w:lvlJc w:val="left"/>
      <w:pPr>
        <w:ind w:left="2904" w:hanging="369"/>
      </w:pPr>
      <w:rPr>
        <w:rFonts w:hint="default"/>
        <w:lang w:val="fr-FR" w:eastAsia="fr-FR" w:bidi="fr-FR"/>
      </w:rPr>
    </w:lvl>
    <w:lvl w:ilvl="7" w:tplc="90AC9CC6">
      <w:numFmt w:val="bullet"/>
      <w:lvlText w:val="•"/>
      <w:lvlJc w:val="left"/>
      <w:pPr>
        <w:ind w:left="3268" w:hanging="369"/>
      </w:pPr>
      <w:rPr>
        <w:rFonts w:hint="default"/>
        <w:lang w:val="fr-FR" w:eastAsia="fr-FR" w:bidi="fr-FR"/>
      </w:rPr>
    </w:lvl>
    <w:lvl w:ilvl="8" w:tplc="E00CE12E">
      <w:numFmt w:val="bullet"/>
      <w:lvlText w:val="•"/>
      <w:lvlJc w:val="left"/>
      <w:pPr>
        <w:ind w:left="3632" w:hanging="369"/>
      </w:pPr>
      <w:rPr>
        <w:rFonts w:hint="default"/>
        <w:lang w:val="fr-FR" w:eastAsia="fr-FR" w:bidi="fr-FR"/>
      </w:rPr>
    </w:lvl>
  </w:abstractNum>
  <w:num w:numId="1">
    <w:abstractNumId w:val="10"/>
  </w:num>
  <w:num w:numId="2">
    <w:abstractNumId w:val="11"/>
  </w:num>
  <w:num w:numId="3">
    <w:abstractNumId w:val="9"/>
  </w:num>
  <w:num w:numId="4">
    <w:abstractNumId w:val="12"/>
  </w:num>
  <w:num w:numId="5">
    <w:abstractNumId w:val="2"/>
  </w:num>
  <w:num w:numId="6">
    <w:abstractNumId w:val="3"/>
  </w:num>
  <w:num w:numId="7">
    <w:abstractNumId w:val="8"/>
  </w:num>
  <w:num w:numId="8">
    <w:abstractNumId w:val="1"/>
  </w:num>
  <w:num w:numId="9">
    <w:abstractNumId w:val="6"/>
  </w:num>
  <w:num w:numId="10">
    <w:abstractNumId w:val="4"/>
  </w:num>
  <w:num w:numId="11">
    <w:abstractNumId w:val="7"/>
  </w:num>
  <w:num w:numId="12">
    <w:abstractNumId w:val="5"/>
  </w:num>
  <w:num w:numId="1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676"/>
    <w:rsid w:val="000006AF"/>
    <w:rsid w:val="000013BD"/>
    <w:rsid w:val="00001462"/>
    <w:rsid w:val="000016E5"/>
    <w:rsid w:val="00002AD2"/>
    <w:rsid w:val="00003064"/>
    <w:rsid w:val="000038FA"/>
    <w:rsid w:val="00004517"/>
    <w:rsid w:val="00004694"/>
    <w:rsid w:val="00004D7C"/>
    <w:rsid w:val="00004F97"/>
    <w:rsid w:val="00006398"/>
    <w:rsid w:val="00006AC0"/>
    <w:rsid w:val="00010A08"/>
    <w:rsid w:val="0001211D"/>
    <w:rsid w:val="00012F9F"/>
    <w:rsid w:val="00012FF3"/>
    <w:rsid w:val="000133D8"/>
    <w:rsid w:val="000149E4"/>
    <w:rsid w:val="00020F06"/>
    <w:rsid w:val="000214D2"/>
    <w:rsid w:val="000225AB"/>
    <w:rsid w:val="000225F8"/>
    <w:rsid w:val="00022B16"/>
    <w:rsid w:val="000234B8"/>
    <w:rsid w:val="0002354A"/>
    <w:rsid w:val="00023A25"/>
    <w:rsid w:val="00025553"/>
    <w:rsid w:val="00025809"/>
    <w:rsid w:val="00025C0F"/>
    <w:rsid w:val="00026C96"/>
    <w:rsid w:val="0002705B"/>
    <w:rsid w:val="00027BB4"/>
    <w:rsid w:val="00031ECC"/>
    <w:rsid w:val="00031F8A"/>
    <w:rsid w:val="00032C0C"/>
    <w:rsid w:val="00033C3A"/>
    <w:rsid w:val="00033DB1"/>
    <w:rsid w:val="00034550"/>
    <w:rsid w:val="00035CD9"/>
    <w:rsid w:val="00035D4B"/>
    <w:rsid w:val="00036925"/>
    <w:rsid w:val="0003727F"/>
    <w:rsid w:val="000374A4"/>
    <w:rsid w:val="0004039C"/>
    <w:rsid w:val="00041A9B"/>
    <w:rsid w:val="00041C5C"/>
    <w:rsid w:val="00043203"/>
    <w:rsid w:val="000452B7"/>
    <w:rsid w:val="0004575F"/>
    <w:rsid w:val="0004650F"/>
    <w:rsid w:val="00051CE3"/>
    <w:rsid w:val="00053068"/>
    <w:rsid w:val="0005671D"/>
    <w:rsid w:val="00062D1F"/>
    <w:rsid w:val="000631D5"/>
    <w:rsid w:val="00063864"/>
    <w:rsid w:val="00065143"/>
    <w:rsid w:val="00065D4B"/>
    <w:rsid w:val="00066CAD"/>
    <w:rsid w:val="000679A0"/>
    <w:rsid w:val="00070D59"/>
    <w:rsid w:val="0007106D"/>
    <w:rsid w:val="00071144"/>
    <w:rsid w:val="00071D45"/>
    <w:rsid w:val="00072A44"/>
    <w:rsid w:val="00072BD0"/>
    <w:rsid w:val="00072E23"/>
    <w:rsid w:val="0007326F"/>
    <w:rsid w:val="00074000"/>
    <w:rsid w:val="00075707"/>
    <w:rsid w:val="000779B7"/>
    <w:rsid w:val="000801C1"/>
    <w:rsid w:val="000811FD"/>
    <w:rsid w:val="0008161C"/>
    <w:rsid w:val="00081B73"/>
    <w:rsid w:val="000826CF"/>
    <w:rsid w:val="00082D0E"/>
    <w:rsid w:val="00083516"/>
    <w:rsid w:val="000845E7"/>
    <w:rsid w:val="000859D3"/>
    <w:rsid w:val="000903FB"/>
    <w:rsid w:val="0009076B"/>
    <w:rsid w:val="00090EA7"/>
    <w:rsid w:val="0009184F"/>
    <w:rsid w:val="00092117"/>
    <w:rsid w:val="00092210"/>
    <w:rsid w:val="00092592"/>
    <w:rsid w:val="000946F1"/>
    <w:rsid w:val="000955CB"/>
    <w:rsid w:val="000971A1"/>
    <w:rsid w:val="000A2313"/>
    <w:rsid w:val="000A2427"/>
    <w:rsid w:val="000A24DF"/>
    <w:rsid w:val="000A394F"/>
    <w:rsid w:val="000A5AFC"/>
    <w:rsid w:val="000A6694"/>
    <w:rsid w:val="000A7012"/>
    <w:rsid w:val="000A708F"/>
    <w:rsid w:val="000B0756"/>
    <w:rsid w:val="000B1962"/>
    <w:rsid w:val="000B2497"/>
    <w:rsid w:val="000B3900"/>
    <w:rsid w:val="000B3FE5"/>
    <w:rsid w:val="000B522A"/>
    <w:rsid w:val="000B52AB"/>
    <w:rsid w:val="000B6234"/>
    <w:rsid w:val="000B6CCA"/>
    <w:rsid w:val="000C05A6"/>
    <w:rsid w:val="000C0940"/>
    <w:rsid w:val="000C0A45"/>
    <w:rsid w:val="000C0F6B"/>
    <w:rsid w:val="000C126F"/>
    <w:rsid w:val="000C1D60"/>
    <w:rsid w:val="000C4274"/>
    <w:rsid w:val="000C4574"/>
    <w:rsid w:val="000C47FE"/>
    <w:rsid w:val="000C5908"/>
    <w:rsid w:val="000C5F67"/>
    <w:rsid w:val="000C6158"/>
    <w:rsid w:val="000C7713"/>
    <w:rsid w:val="000C77EB"/>
    <w:rsid w:val="000C7E8E"/>
    <w:rsid w:val="000D01C6"/>
    <w:rsid w:val="000D1A21"/>
    <w:rsid w:val="000D3EFE"/>
    <w:rsid w:val="000D4F45"/>
    <w:rsid w:val="000D5C37"/>
    <w:rsid w:val="000D67A2"/>
    <w:rsid w:val="000E13D3"/>
    <w:rsid w:val="000E1674"/>
    <w:rsid w:val="000E18A2"/>
    <w:rsid w:val="000E19EC"/>
    <w:rsid w:val="000E1D01"/>
    <w:rsid w:val="000E6950"/>
    <w:rsid w:val="000E6C23"/>
    <w:rsid w:val="000E79B1"/>
    <w:rsid w:val="000F02CF"/>
    <w:rsid w:val="000F18BE"/>
    <w:rsid w:val="000F2122"/>
    <w:rsid w:val="000F333A"/>
    <w:rsid w:val="000F4439"/>
    <w:rsid w:val="000F6DD5"/>
    <w:rsid w:val="000F7A69"/>
    <w:rsid w:val="00100D46"/>
    <w:rsid w:val="0010102D"/>
    <w:rsid w:val="00102800"/>
    <w:rsid w:val="001060A8"/>
    <w:rsid w:val="00107627"/>
    <w:rsid w:val="00110940"/>
    <w:rsid w:val="00110E38"/>
    <w:rsid w:val="00111067"/>
    <w:rsid w:val="001127CD"/>
    <w:rsid w:val="0011283A"/>
    <w:rsid w:val="00113D0F"/>
    <w:rsid w:val="001159FC"/>
    <w:rsid w:val="00115B0C"/>
    <w:rsid w:val="001160D9"/>
    <w:rsid w:val="0011685F"/>
    <w:rsid w:val="00117000"/>
    <w:rsid w:val="00117C8E"/>
    <w:rsid w:val="00121451"/>
    <w:rsid w:val="00121B7A"/>
    <w:rsid w:val="00121DAE"/>
    <w:rsid w:val="00122D69"/>
    <w:rsid w:val="00123019"/>
    <w:rsid w:val="00123148"/>
    <w:rsid w:val="001232CB"/>
    <w:rsid w:val="0012363E"/>
    <w:rsid w:val="0012364D"/>
    <w:rsid w:val="00125DFE"/>
    <w:rsid w:val="00127DD2"/>
    <w:rsid w:val="001316DE"/>
    <w:rsid w:val="00131B15"/>
    <w:rsid w:val="00132010"/>
    <w:rsid w:val="0013384D"/>
    <w:rsid w:val="00134316"/>
    <w:rsid w:val="00134517"/>
    <w:rsid w:val="001361A9"/>
    <w:rsid w:val="00136C02"/>
    <w:rsid w:val="00136F9C"/>
    <w:rsid w:val="001374EB"/>
    <w:rsid w:val="00137E47"/>
    <w:rsid w:val="001404EC"/>
    <w:rsid w:val="001415BF"/>
    <w:rsid w:val="00142B60"/>
    <w:rsid w:val="00143033"/>
    <w:rsid w:val="00143CE9"/>
    <w:rsid w:val="001440FD"/>
    <w:rsid w:val="00145CC2"/>
    <w:rsid w:val="00146BFC"/>
    <w:rsid w:val="001504F5"/>
    <w:rsid w:val="0015140D"/>
    <w:rsid w:val="001518BA"/>
    <w:rsid w:val="0015242B"/>
    <w:rsid w:val="00156544"/>
    <w:rsid w:val="001566C3"/>
    <w:rsid w:val="00156916"/>
    <w:rsid w:val="00156B50"/>
    <w:rsid w:val="00156C6F"/>
    <w:rsid w:val="001570E6"/>
    <w:rsid w:val="00160360"/>
    <w:rsid w:val="001616D4"/>
    <w:rsid w:val="00161F46"/>
    <w:rsid w:val="00163C6C"/>
    <w:rsid w:val="00163EC1"/>
    <w:rsid w:val="00164E68"/>
    <w:rsid w:val="00165196"/>
    <w:rsid w:val="001659D6"/>
    <w:rsid w:val="00165D75"/>
    <w:rsid w:val="0016623E"/>
    <w:rsid w:val="00167D47"/>
    <w:rsid w:val="00170612"/>
    <w:rsid w:val="00170CB7"/>
    <w:rsid w:val="00171387"/>
    <w:rsid w:val="001721E7"/>
    <w:rsid w:val="00173612"/>
    <w:rsid w:val="00173D21"/>
    <w:rsid w:val="00174C3C"/>
    <w:rsid w:val="00175A65"/>
    <w:rsid w:val="00175BCE"/>
    <w:rsid w:val="0017781A"/>
    <w:rsid w:val="00177B6A"/>
    <w:rsid w:val="00177E85"/>
    <w:rsid w:val="001806FE"/>
    <w:rsid w:val="00180B80"/>
    <w:rsid w:val="00181D4E"/>
    <w:rsid w:val="0018259C"/>
    <w:rsid w:val="00182979"/>
    <w:rsid w:val="001845A7"/>
    <w:rsid w:val="00186BBF"/>
    <w:rsid w:val="0018725B"/>
    <w:rsid w:val="001911F0"/>
    <w:rsid w:val="00191AE2"/>
    <w:rsid w:val="001935B3"/>
    <w:rsid w:val="00194784"/>
    <w:rsid w:val="00195187"/>
    <w:rsid w:val="001953CE"/>
    <w:rsid w:val="00195BD5"/>
    <w:rsid w:val="0019661C"/>
    <w:rsid w:val="001967E8"/>
    <w:rsid w:val="001977BE"/>
    <w:rsid w:val="0019794F"/>
    <w:rsid w:val="001A0557"/>
    <w:rsid w:val="001A07A7"/>
    <w:rsid w:val="001A0EB2"/>
    <w:rsid w:val="001A1A54"/>
    <w:rsid w:val="001A3AE8"/>
    <w:rsid w:val="001A45EE"/>
    <w:rsid w:val="001A5456"/>
    <w:rsid w:val="001A6D97"/>
    <w:rsid w:val="001B3123"/>
    <w:rsid w:val="001B3214"/>
    <w:rsid w:val="001B570E"/>
    <w:rsid w:val="001B666A"/>
    <w:rsid w:val="001B791D"/>
    <w:rsid w:val="001C0164"/>
    <w:rsid w:val="001C0EA1"/>
    <w:rsid w:val="001C0EFA"/>
    <w:rsid w:val="001C3AF3"/>
    <w:rsid w:val="001C3D41"/>
    <w:rsid w:val="001C5087"/>
    <w:rsid w:val="001C5161"/>
    <w:rsid w:val="001C518B"/>
    <w:rsid w:val="001C5254"/>
    <w:rsid w:val="001C5738"/>
    <w:rsid w:val="001C5B68"/>
    <w:rsid w:val="001C645B"/>
    <w:rsid w:val="001C681C"/>
    <w:rsid w:val="001C6D44"/>
    <w:rsid w:val="001C70A0"/>
    <w:rsid w:val="001C7459"/>
    <w:rsid w:val="001D2D74"/>
    <w:rsid w:val="001D3A57"/>
    <w:rsid w:val="001D3A67"/>
    <w:rsid w:val="001D40BE"/>
    <w:rsid w:val="001D4F21"/>
    <w:rsid w:val="001D55D9"/>
    <w:rsid w:val="001D64B0"/>
    <w:rsid w:val="001D6A27"/>
    <w:rsid w:val="001D6B1D"/>
    <w:rsid w:val="001D6D73"/>
    <w:rsid w:val="001D71B7"/>
    <w:rsid w:val="001D7289"/>
    <w:rsid w:val="001E06C3"/>
    <w:rsid w:val="001E307D"/>
    <w:rsid w:val="001E432E"/>
    <w:rsid w:val="001E73C4"/>
    <w:rsid w:val="001F01C8"/>
    <w:rsid w:val="001F12BC"/>
    <w:rsid w:val="001F2EF4"/>
    <w:rsid w:val="001F2F73"/>
    <w:rsid w:val="001F408C"/>
    <w:rsid w:val="001F5084"/>
    <w:rsid w:val="001F66AA"/>
    <w:rsid w:val="001F7608"/>
    <w:rsid w:val="00201129"/>
    <w:rsid w:val="00203E8B"/>
    <w:rsid w:val="002044EB"/>
    <w:rsid w:val="002048AC"/>
    <w:rsid w:val="00204AEE"/>
    <w:rsid w:val="00206553"/>
    <w:rsid w:val="00207CF6"/>
    <w:rsid w:val="00211A17"/>
    <w:rsid w:val="00211A28"/>
    <w:rsid w:val="002134EE"/>
    <w:rsid w:val="00213661"/>
    <w:rsid w:val="00213A59"/>
    <w:rsid w:val="00214279"/>
    <w:rsid w:val="00214B66"/>
    <w:rsid w:val="00215BFD"/>
    <w:rsid w:val="002161BF"/>
    <w:rsid w:val="0021685D"/>
    <w:rsid w:val="00217377"/>
    <w:rsid w:val="002173BF"/>
    <w:rsid w:val="00217762"/>
    <w:rsid w:val="00221545"/>
    <w:rsid w:val="002218F3"/>
    <w:rsid w:val="00223013"/>
    <w:rsid w:val="00224B1F"/>
    <w:rsid w:val="00224C42"/>
    <w:rsid w:val="00225558"/>
    <w:rsid w:val="002267DF"/>
    <w:rsid w:val="00227914"/>
    <w:rsid w:val="0023091B"/>
    <w:rsid w:val="00231BA7"/>
    <w:rsid w:val="00232169"/>
    <w:rsid w:val="00232F58"/>
    <w:rsid w:val="00234D35"/>
    <w:rsid w:val="00235070"/>
    <w:rsid w:val="00236747"/>
    <w:rsid w:val="00236870"/>
    <w:rsid w:val="002409C5"/>
    <w:rsid w:val="0024154E"/>
    <w:rsid w:val="00242159"/>
    <w:rsid w:val="00242826"/>
    <w:rsid w:val="0024426D"/>
    <w:rsid w:val="0024476A"/>
    <w:rsid w:val="002477A1"/>
    <w:rsid w:val="002479FA"/>
    <w:rsid w:val="00247AB5"/>
    <w:rsid w:val="00247D03"/>
    <w:rsid w:val="002503C7"/>
    <w:rsid w:val="00251C9E"/>
    <w:rsid w:val="002525D2"/>
    <w:rsid w:val="00253C11"/>
    <w:rsid w:val="00254307"/>
    <w:rsid w:val="002550D9"/>
    <w:rsid w:val="00257CBA"/>
    <w:rsid w:val="002605B2"/>
    <w:rsid w:val="0026065C"/>
    <w:rsid w:val="0026200D"/>
    <w:rsid w:val="00265B94"/>
    <w:rsid w:val="00266708"/>
    <w:rsid w:val="00267967"/>
    <w:rsid w:val="00267A11"/>
    <w:rsid w:val="0027177F"/>
    <w:rsid w:val="00271900"/>
    <w:rsid w:val="002725D3"/>
    <w:rsid w:val="002753F0"/>
    <w:rsid w:val="00280759"/>
    <w:rsid w:val="002816F4"/>
    <w:rsid w:val="00281C74"/>
    <w:rsid w:val="00281D8D"/>
    <w:rsid w:val="002836A1"/>
    <w:rsid w:val="002848AE"/>
    <w:rsid w:val="00284ADF"/>
    <w:rsid w:val="00286AAC"/>
    <w:rsid w:val="0028774F"/>
    <w:rsid w:val="00290DD3"/>
    <w:rsid w:val="00290FFB"/>
    <w:rsid w:val="002911AD"/>
    <w:rsid w:val="0029201F"/>
    <w:rsid w:val="00293BE0"/>
    <w:rsid w:val="00294091"/>
    <w:rsid w:val="00294646"/>
    <w:rsid w:val="002946AB"/>
    <w:rsid w:val="00295A04"/>
    <w:rsid w:val="00296FE2"/>
    <w:rsid w:val="00297330"/>
    <w:rsid w:val="002974AA"/>
    <w:rsid w:val="002A2046"/>
    <w:rsid w:val="002A28D0"/>
    <w:rsid w:val="002A291A"/>
    <w:rsid w:val="002A2991"/>
    <w:rsid w:val="002A5637"/>
    <w:rsid w:val="002A6371"/>
    <w:rsid w:val="002A7869"/>
    <w:rsid w:val="002A7ED4"/>
    <w:rsid w:val="002B0782"/>
    <w:rsid w:val="002B0AE6"/>
    <w:rsid w:val="002B15EF"/>
    <w:rsid w:val="002B2C03"/>
    <w:rsid w:val="002B45D3"/>
    <w:rsid w:val="002B5002"/>
    <w:rsid w:val="002B5F1E"/>
    <w:rsid w:val="002B616E"/>
    <w:rsid w:val="002B6951"/>
    <w:rsid w:val="002C0775"/>
    <w:rsid w:val="002C1184"/>
    <w:rsid w:val="002C1232"/>
    <w:rsid w:val="002C13AF"/>
    <w:rsid w:val="002C1D31"/>
    <w:rsid w:val="002C26E0"/>
    <w:rsid w:val="002C3A6B"/>
    <w:rsid w:val="002C43C1"/>
    <w:rsid w:val="002C5608"/>
    <w:rsid w:val="002C5BF3"/>
    <w:rsid w:val="002C6FA9"/>
    <w:rsid w:val="002D0D64"/>
    <w:rsid w:val="002D1FE4"/>
    <w:rsid w:val="002D24BD"/>
    <w:rsid w:val="002D2547"/>
    <w:rsid w:val="002D3CA7"/>
    <w:rsid w:val="002D44CC"/>
    <w:rsid w:val="002D4D77"/>
    <w:rsid w:val="002D4E1E"/>
    <w:rsid w:val="002D5AD3"/>
    <w:rsid w:val="002D6EB0"/>
    <w:rsid w:val="002D70B7"/>
    <w:rsid w:val="002D736D"/>
    <w:rsid w:val="002D74C4"/>
    <w:rsid w:val="002E0B93"/>
    <w:rsid w:val="002E0D48"/>
    <w:rsid w:val="002E1476"/>
    <w:rsid w:val="002E1535"/>
    <w:rsid w:val="002E1A91"/>
    <w:rsid w:val="002E31E1"/>
    <w:rsid w:val="002E41DA"/>
    <w:rsid w:val="002E42DF"/>
    <w:rsid w:val="002E4C3A"/>
    <w:rsid w:val="002E7E6C"/>
    <w:rsid w:val="002F00AE"/>
    <w:rsid w:val="002F1492"/>
    <w:rsid w:val="002F4B46"/>
    <w:rsid w:val="002F7ED6"/>
    <w:rsid w:val="003000C7"/>
    <w:rsid w:val="003001AE"/>
    <w:rsid w:val="00300777"/>
    <w:rsid w:val="00301640"/>
    <w:rsid w:val="0030263B"/>
    <w:rsid w:val="00302F5C"/>
    <w:rsid w:val="00303146"/>
    <w:rsid w:val="00303A14"/>
    <w:rsid w:val="0030415C"/>
    <w:rsid w:val="00305B97"/>
    <w:rsid w:val="003068C2"/>
    <w:rsid w:val="00306A2A"/>
    <w:rsid w:val="0031002C"/>
    <w:rsid w:val="00312999"/>
    <w:rsid w:val="00312BBA"/>
    <w:rsid w:val="00312BCA"/>
    <w:rsid w:val="00312C23"/>
    <w:rsid w:val="003141A3"/>
    <w:rsid w:val="0031438F"/>
    <w:rsid w:val="00314ED2"/>
    <w:rsid w:val="0031709E"/>
    <w:rsid w:val="00317248"/>
    <w:rsid w:val="00317F23"/>
    <w:rsid w:val="00321C5C"/>
    <w:rsid w:val="00321FE1"/>
    <w:rsid w:val="003230E2"/>
    <w:rsid w:val="00323C77"/>
    <w:rsid w:val="00323C9F"/>
    <w:rsid w:val="00324A92"/>
    <w:rsid w:val="00325203"/>
    <w:rsid w:val="00326B7E"/>
    <w:rsid w:val="0032745C"/>
    <w:rsid w:val="0033049C"/>
    <w:rsid w:val="00331974"/>
    <w:rsid w:val="00331A90"/>
    <w:rsid w:val="003342A4"/>
    <w:rsid w:val="00334FAE"/>
    <w:rsid w:val="0033502C"/>
    <w:rsid w:val="003351B2"/>
    <w:rsid w:val="0033529C"/>
    <w:rsid w:val="0034102B"/>
    <w:rsid w:val="00341F56"/>
    <w:rsid w:val="00342FD7"/>
    <w:rsid w:val="00343B76"/>
    <w:rsid w:val="00344FF9"/>
    <w:rsid w:val="00345505"/>
    <w:rsid w:val="00345646"/>
    <w:rsid w:val="00345798"/>
    <w:rsid w:val="003465B4"/>
    <w:rsid w:val="00346C72"/>
    <w:rsid w:val="003476CC"/>
    <w:rsid w:val="00350561"/>
    <w:rsid w:val="003530F1"/>
    <w:rsid w:val="00353AB0"/>
    <w:rsid w:val="00353DF5"/>
    <w:rsid w:val="00353ED7"/>
    <w:rsid w:val="003541AD"/>
    <w:rsid w:val="00355CAE"/>
    <w:rsid w:val="00356544"/>
    <w:rsid w:val="00356F43"/>
    <w:rsid w:val="0035734E"/>
    <w:rsid w:val="003600F1"/>
    <w:rsid w:val="0036082A"/>
    <w:rsid w:val="003608DE"/>
    <w:rsid w:val="00361667"/>
    <w:rsid w:val="003618ED"/>
    <w:rsid w:val="00361A41"/>
    <w:rsid w:val="0036597F"/>
    <w:rsid w:val="00365CDF"/>
    <w:rsid w:val="00366311"/>
    <w:rsid w:val="003663B2"/>
    <w:rsid w:val="00366DFB"/>
    <w:rsid w:val="00370AAB"/>
    <w:rsid w:val="00372727"/>
    <w:rsid w:val="00377AF9"/>
    <w:rsid w:val="00380881"/>
    <w:rsid w:val="00383223"/>
    <w:rsid w:val="00384294"/>
    <w:rsid w:val="00385A58"/>
    <w:rsid w:val="00386019"/>
    <w:rsid w:val="00386278"/>
    <w:rsid w:val="0039220A"/>
    <w:rsid w:val="0039430F"/>
    <w:rsid w:val="0039536A"/>
    <w:rsid w:val="003960DC"/>
    <w:rsid w:val="003962BA"/>
    <w:rsid w:val="00396509"/>
    <w:rsid w:val="003A0045"/>
    <w:rsid w:val="003A0272"/>
    <w:rsid w:val="003A044A"/>
    <w:rsid w:val="003A177C"/>
    <w:rsid w:val="003A189B"/>
    <w:rsid w:val="003A199E"/>
    <w:rsid w:val="003A23FA"/>
    <w:rsid w:val="003A24E6"/>
    <w:rsid w:val="003A289C"/>
    <w:rsid w:val="003A3AE9"/>
    <w:rsid w:val="003A4334"/>
    <w:rsid w:val="003A538D"/>
    <w:rsid w:val="003B11A7"/>
    <w:rsid w:val="003B25DA"/>
    <w:rsid w:val="003B2869"/>
    <w:rsid w:val="003B2E83"/>
    <w:rsid w:val="003B3261"/>
    <w:rsid w:val="003B3DF5"/>
    <w:rsid w:val="003B42D6"/>
    <w:rsid w:val="003B47E1"/>
    <w:rsid w:val="003B5700"/>
    <w:rsid w:val="003B5C6F"/>
    <w:rsid w:val="003C140F"/>
    <w:rsid w:val="003C2B27"/>
    <w:rsid w:val="003C63F9"/>
    <w:rsid w:val="003D008B"/>
    <w:rsid w:val="003D0DC4"/>
    <w:rsid w:val="003D27F2"/>
    <w:rsid w:val="003D2FC4"/>
    <w:rsid w:val="003D50AD"/>
    <w:rsid w:val="003D578C"/>
    <w:rsid w:val="003E4ACD"/>
    <w:rsid w:val="003E4F9F"/>
    <w:rsid w:val="003E622A"/>
    <w:rsid w:val="003E66EB"/>
    <w:rsid w:val="003E7C2D"/>
    <w:rsid w:val="003F09EA"/>
    <w:rsid w:val="003F2BCE"/>
    <w:rsid w:val="00400618"/>
    <w:rsid w:val="00403541"/>
    <w:rsid w:val="00403700"/>
    <w:rsid w:val="00403F45"/>
    <w:rsid w:val="00404047"/>
    <w:rsid w:val="004041EC"/>
    <w:rsid w:val="00404B4B"/>
    <w:rsid w:val="0040509E"/>
    <w:rsid w:val="004059C0"/>
    <w:rsid w:val="00405B17"/>
    <w:rsid w:val="00406241"/>
    <w:rsid w:val="004065EC"/>
    <w:rsid w:val="0041192B"/>
    <w:rsid w:val="00412CC3"/>
    <w:rsid w:val="00413F26"/>
    <w:rsid w:val="00414D92"/>
    <w:rsid w:val="00414F80"/>
    <w:rsid w:val="0042038F"/>
    <w:rsid w:val="004208F2"/>
    <w:rsid w:val="00421136"/>
    <w:rsid w:val="004222A9"/>
    <w:rsid w:val="00424507"/>
    <w:rsid w:val="00426947"/>
    <w:rsid w:val="00426CC6"/>
    <w:rsid w:val="004271D8"/>
    <w:rsid w:val="00427B86"/>
    <w:rsid w:val="00430201"/>
    <w:rsid w:val="004308EF"/>
    <w:rsid w:val="00431577"/>
    <w:rsid w:val="00433EF0"/>
    <w:rsid w:val="00434DC3"/>
    <w:rsid w:val="004353D4"/>
    <w:rsid w:val="00435752"/>
    <w:rsid w:val="0043576A"/>
    <w:rsid w:val="00435A1A"/>
    <w:rsid w:val="00436000"/>
    <w:rsid w:val="00437A72"/>
    <w:rsid w:val="00437FFB"/>
    <w:rsid w:val="00442C3F"/>
    <w:rsid w:val="00444EF2"/>
    <w:rsid w:val="00445C65"/>
    <w:rsid w:val="00445DFA"/>
    <w:rsid w:val="004478DC"/>
    <w:rsid w:val="00447EBA"/>
    <w:rsid w:val="00450B65"/>
    <w:rsid w:val="00456CFF"/>
    <w:rsid w:val="00461D1B"/>
    <w:rsid w:val="00461D8E"/>
    <w:rsid w:val="00461DCA"/>
    <w:rsid w:val="00461FE4"/>
    <w:rsid w:val="00465B96"/>
    <w:rsid w:val="00467156"/>
    <w:rsid w:val="00467226"/>
    <w:rsid w:val="00472C67"/>
    <w:rsid w:val="00472E1E"/>
    <w:rsid w:val="004731A5"/>
    <w:rsid w:val="0047321D"/>
    <w:rsid w:val="00473E7C"/>
    <w:rsid w:val="0047431F"/>
    <w:rsid w:val="00474E9A"/>
    <w:rsid w:val="004752B7"/>
    <w:rsid w:val="0047580B"/>
    <w:rsid w:val="00475A5E"/>
    <w:rsid w:val="004813AC"/>
    <w:rsid w:val="004813CA"/>
    <w:rsid w:val="00483FD8"/>
    <w:rsid w:val="00484D2C"/>
    <w:rsid w:val="00484E3C"/>
    <w:rsid w:val="00486B4B"/>
    <w:rsid w:val="00487F12"/>
    <w:rsid w:val="00487FAC"/>
    <w:rsid w:val="004903AA"/>
    <w:rsid w:val="004916C9"/>
    <w:rsid w:val="0049271B"/>
    <w:rsid w:val="00493CB6"/>
    <w:rsid w:val="00494113"/>
    <w:rsid w:val="0049502C"/>
    <w:rsid w:val="0049514D"/>
    <w:rsid w:val="004959C0"/>
    <w:rsid w:val="00495E32"/>
    <w:rsid w:val="00496992"/>
    <w:rsid w:val="00496C64"/>
    <w:rsid w:val="00496ED9"/>
    <w:rsid w:val="00497038"/>
    <w:rsid w:val="00497210"/>
    <w:rsid w:val="004A0060"/>
    <w:rsid w:val="004A00F7"/>
    <w:rsid w:val="004A07FC"/>
    <w:rsid w:val="004A0AB7"/>
    <w:rsid w:val="004A1F35"/>
    <w:rsid w:val="004A46A0"/>
    <w:rsid w:val="004A5B54"/>
    <w:rsid w:val="004A70E5"/>
    <w:rsid w:val="004B22C5"/>
    <w:rsid w:val="004B2452"/>
    <w:rsid w:val="004B3B57"/>
    <w:rsid w:val="004B649B"/>
    <w:rsid w:val="004B65D3"/>
    <w:rsid w:val="004C2839"/>
    <w:rsid w:val="004C5051"/>
    <w:rsid w:val="004C553E"/>
    <w:rsid w:val="004C55D0"/>
    <w:rsid w:val="004C5803"/>
    <w:rsid w:val="004C70CF"/>
    <w:rsid w:val="004C7628"/>
    <w:rsid w:val="004C7D1E"/>
    <w:rsid w:val="004D064E"/>
    <w:rsid w:val="004D252F"/>
    <w:rsid w:val="004D3F1D"/>
    <w:rsid w:val="004D48BD"/>
    <w:rsid w:val="004D4E91"/>
    <w:rsid w:val="004D5CA1"/>
    <w:rsid w:val="004D7581"/>
    <w:rsid w:val="004E1C04"/>
    <w:rsid w:val="004E1F8A"/>
    <w:rsid w:val="004E236A"/>
    <w:rsid w:val="004E353D"/>
    <w:rsid w:val="004E49ED"/>
    <w:rsid w:val="004E5095"/>
    <w:rsid w:val="004E5DAA"/>
    <w:rsid w:val="004E6997"/>
    <w:rsid w:val="004E7C79"/>
    <w:rsid w:val="004F02E7"/>
    <w:rsid w:val="004F1735"/>
    <w:rsid w:val="004F362F"/>
    <w:rsid w:val="004F3B26"/>
    <w:rsid w:val="004F3D63"/>
    <w:rsid w:val="004F4776"/>
    <w:rsid w:val="004F6145"/>
    <w:rsid w:val="004F6306"/>
    <w:rsid w:val="004F6450"/>
    <w:rsid w:val="005008DB"/>
    <w:rsid w:val="00500C02"/>
    <w:rsid w:val="00501A0B"/>
    <w:rsid w:val="005021E9"/>
    <w:rsid w:val="005036DC"/>
    <w:rsid w:val="0050375D"/>
    <w:rsid w:val="00504562"/>
    <w:rsid w:val="005051FA"/>
    <w:rsid w:val="0050596F"/>
    <w:rsid w:val="0050651C"/>
    <w:rsid w:val="005066DA"/>
    <w:rsid w:val="00506E92"/>
    <w:rsid w:val="00507C3B"/>
    <w:rsid w:val="00507D45"/>
    <w:rsid w:val="00510179"/>
    <w:rsid w:val="00510547"/>
    <w:rsid w:val="00511913"/>
    <w:rsid w:val="00511E22"/>
    <w:rsid w:val="00512C18"/>
    <w:rsid w:val="00513192"/>
    <w:rsid w:val="00513AE4"/>
    <w:rsid w:val="005147BE"/>
    <w:rsid w:val="005150E3"/>
    <w:rsid w:val="0051596C"/>
    <w:rsid w:val="00516801"/>
    <w:rsid w:val="0051683A"/>
    <w:rsid w:val="00516866"/>
    <w:rsid w:val="00516F40"/>
    <w:rsid w:val="00520055"/>
    <w:rsid w:val="00520258"/>
    <w:rsid w:val="005202A4"/>
    <w:rsid w:val="00520652"/>
    <w:rsid w:val="0052081A"/>
    <w:rsid w:val="005221AF"/>
    <w:rsid w:val="00522261"/>
    <w:rsid w:val="0052319E"/>
    <w:rsid w:val="005232A9"/>
    <w:rsid w:val="00523DFA"/>
    <w:rsid w:val="00523EAA"/>
    <w:rsid w:val="00524234"/>
    <w:rsid w:val="005243D2"/>
    <w:rsid w:val="005269BB"/>
    <w:rsid w:val="00526A2B"/>
    <w:rsid w:val="00526F3D"/>
    <w:rsid w:val="00530C2B"/>
    <w:rsid w:val="0053184B"/>
    <w:rsid w:val="00532BFD"/>
    <w:rsid w:val="00532C57"/>
    <w:rsid w:val="00532C61"/>
    <w:rsid w:val="0053365E"/>
    <w:rsid w:val="0053380D"/>
    <w:rsid w:val="00533C50"/>
    <w:rsid w:val="005342B2"/>
    <w:rsid w:val="0053605B"/>
    <w:rsid w:val="005413D6"/>
    <w:rsid w:val="00541D0A"/>
    <w:rsid w:val="00542377"/>
    <w:rsid w:val="00544767"/>
    <w:rsid w:val="00551896"/>
    <w:rsid w:val="00551B5F"/>
    <w:rsid w:val="005532D7"/>
    <w:rsid w:val="00553D70"/>
    <w:rsid w:val="005541A2"/>
    <w:rsid w:val="00555567"/>
    <w:rsid w:val="00560A42"/>
    <w:rsid w:val="0056479B"/>
    <w:rsid w:val="005647DD"/>
    <w:rsid w:val="005651ED"/>
    <w:rsid w:val="0056738C"/>
    <w:rsid w:val="00567D8E"/>
    <w:rsid w:val="00570C25"/>
    <w:rsid w:val="00571388"/>
    <w:rsid w:val="0057395A"/>
    <w:rsid w:val="00574705"/>
    <w:rsid w:val="00575486"/>
    <w:rsid w:val="00576591"/>
    <w:rsid w:val="005766F8"/>
    <w:rsid w:val="00576EC9"/>
    <w:rsid w:val="00577373"/>
    <w:rsid w:val="005805C2"/>
    <w:rsid w:val="0058076B"/>
    <w:rsid w:val="00581930"/>
    <w:rsid w:val="0058313D"/>
    <w:rsid w:val="005849A5"/>
    <w:rsid w:val="00590597"/>
    <w:rsid w:val="005912E5"/>
    <w:rsid w:val="005915D1"/>
    <w:rsid w:val="005935C3"/>
    <w:rsid w:val="00594223"/>
    <w:rsid w:val="005946B5"/>
    <w:rsid w:val="005970C2"/>
    <w:rsid w:val="005A07D1"/>
    <w:rsid w:val="005A0832"/>
    <w:rsid w:val="005A115E"/>
    <w:rsid w:val="005A1FB8"/>
    <w:rsid w:val="005A49DD"/>
    <w:rsid w:val="005A4FCF"/>
    <w:rsid w:val="005A5AA5"/>
    <w:rsid w:val="005A62E3"/>
    <w:rsid w:val="005A6799"/>
    <w:rsid w:val="005A7299"/>
    <w:rsid w:val="005B0F80"/>
    <w:rsid w:val="005B17FD"/>
    <w:rsid w:val="005B23FA"/>
    <w:rsid w:val="005B2433"/>
    <w:rsid w:val="005B364D"/>
    <w:rsid w:val="005B42BB"/>
    <w:rsid w:val="005B5503"/>
    <w:rsid w:val="005B739D"/>
    <w:rsid w:val="005C0078"/>
    <w:rsid w:val="005C0669"/>
    <w:rsid w:val="005C0A98"/>
    <w:rsid w:val="005C1426"/>
    <w:rsid w:val="005C2764"/>
    <w:rsid w:val="005C287C"/>
    <w:rsid w:val="005C5147"/>
    <w:rsid w:val="005D0A0D"/>
    <w:rsid w:val="005D2FDD"/>
    <w:rsid w:val="005D3C91"/>
    <w:rsid w:val="005D410D"/>
    <w:rsid w:val="005D49CF"/>
    <w:rsid w:val="005D53BD"/>
    <w:rsid w:val="005D5FCA"/>
    <w:rsid w:val="005E0959"/>
    <w:rsid w:val="005E0C18"/>
    <w:rsid w:val="005E1B11"/>
    <w:rsid w:val="005E26F0"/>
    <w:rsid w:val="005E2A0A"/>
    <w:rsid w:val="005E2FD3"/>
    <w:rsid w:val="005E4A8C"/>
    <w:rsid w:val="005E6054"/>
    <w:rsid w:val="005E65D1"/>
    <w:rsid w:val="005E6BB9"/>
    <w:rsid w:val="005E6DF0"/>
    <w:rsid w:val="005E75F8"/>
    <w:rsid w:val="005F2890"/>
    <w:rsid w:val="005F2BF9"/>
    <w:rsid w:val="005F2D65"/>
    <w:rsid w:val="005F425E"/>
    <w:rsid w:val="005F43E8"/>
    <w:rsid w:val="005F5DA0"/>
    <w:rsid w:val="005F7C21"/>
    <w:rsid w:val="00600076"/>
    <w:rsid w:val="0060043F"/>
    <w:rsid w:val="006016D6"/>
    <w:rsid w:val="00602AB5"/>
    <w:rsid w:val="006033B2"/>
    <w:rsid w:val="0060440E"/>
    <w:rsid w:val="006047E9"/>
    <w:rsid w:val="00606424"/>
    <w:rsid w:val="0060687D"/>
    <w:rsid w:val="00610FCD"/>
    <w:rsid w:val="006124B4"/>
    <w:rsid w:val="0062018B"/>
    <w:rsid w:val="006202A4"/>
    <w:rsid w:val="00620331"/>
    <w:rsid w:val="0062053B"/>
    <w:rsid w:val="0062077D"/>
    <w:rsid w:val="00621ED0"/>
    <w:rsid w:val="0062224D"/>
    <w:rsid w:val="006229F0"/>
    <w:rsid w:val="00623298"/>
    <w:rsid w:val="00623AEC"/>
    <w:rsid w:val="00624E07"/>
    <w:rsid w:val="00626576"/>
    <w:rsid w:val="00627DD4"/>
    <w:rsid w:val="00630502"/>
    <w:rsid w:val="00632BF8"/>
    <w:rsid w:val="00633ED9"/>
    <w:rsid w:val="00634CA5"/>
    <w:rsid w:val="006351F6"/>
    <w:rsid w:val="00635817"/>
    <w:rsid w:val="006358F9"/>
    <w:rsid w:val="00636C50"/>
    <w:rsid w:val="00636DB6"/>
    <w:rsid w:val="00637370"/>
    <w:rsid w:val="00641179"/>
    <w:rsid w:val="0064121D"/>
    <w:rsid w:val="00641B6D"/>
    <w:rsid w:val="00641C85"/>
    <w:rsid w:val="0064244B"/>
    <w:rsid w:val="00644186"/>
    <w:rsid w:val="00645A8D"/>
    <w:rsid w:val="00650C1C"/>
    <w:rsid w:val="00650D53"/>
    <w:rsid w:val="0065140C"/>
    <w:rsid w:val="00651D73"/>
    <w:rsid w:val="006526A6"/>
    <w:rsid w:val="00655526"/>
    <w:rsid w:val="006578A0"/>
    <w:rsid w:val="00661396"/>
    <w:rsid w:val="006624B8"/>
    <w:rsid w:val="006647CB"/>
    <w:rsid w:val="00664D32"/>
    <w:rsid w:val="006652E5"/>
    <w:rsid w:val="006652F9"/>
    <w:rsid w:val="00665D12"/>
    <w:rsid w:val="00666C20"/>
    <w:rsid w:val="00667C8E"/>
    <w:rsid w:val="006706EC"/>
    <w:rsid w:val="00671DDD"/>
    <w:rsid w:val="006720F9"/>
    <w:rsid w:val="00673BB7"/>
    <w:rsid w:val="006748B6"/>
    <w:rsid w:val="00674B48"/>
    <w:rsid w:val="006754FE"/>
    <w:rsid w:val="00676A75"/>
    <w:rsid w:val="00677EC2"/>
    <w:rsid w:val="00677FF2"/>
    <w:rsid w:val="00681434"/>
    <w:rsid w:val="00681744"/>
    <w:rsid w:val="00682AFA"/>
    <w:rsid w:val="00683089"/>
    <w:rsid w:val="00683E75"/>
    <w:rsid w:val="00684A2F"/>
    <w:rsid w:val="00684A46"/>
    <w:rsid w:val="00685606"/>
    <w:rsid w:val="00685C49"/>
    <w:rsid w:val="00686028"/>
    <w:rsid w:val="0068637B"/>
    <w:rsid w:val="0068664F"/>
    <w:rsid w:val="00692116"/>
    <w:rsid w:val="00693111"/>
    <w:rsid w:val="00694125"/>
    <w:rsid w:val="006948C6"/>
    <w:rsid w:val="00694D92"/>
    <w:rsid w:val="00694EAC"/>
    <w:rsid w:val="0069548D"/>
    <w:rsid w:val="00695BE5"/>
    <w:rsid w:val="006966FD"/>
    <w:rsid w:val="00696F8E"/>
    <w:rsid w:val="00697DF5"/>
    <w:rsid w:val="00697F5D"/>
    <w:rsid w:val="006A13E9"/>
    <w:rsid w:val="006A162E"/>
    <w:rsid w:val="006A2C08"/>
    <w:rsid w:val="006A4691"/>
    <w:rsid w:val="006A4A8D"/>
    <w:rsid w:val="006A529F"/>
    <w:rsid w:val="006A5F08"/>
    <w:rsid w:val="006A6D59"/>
    <w:rsid w:val="006A70CB"/>
    <w:rsid w:val="006A7EE9"/>
    <w:rsid w:val="006B08AF"/>
    <w:rsid w:val="006B0E69"/>
    <w:rsid w:val="006B21A7"/>
    <w:rsid w:val="006B2515"/>
    <w:rsid w:val="006B2699"/>
    <w:rsid w:val="006B314D"/>
    <w:rsid w:val="006B3B34"/>
    <w:rsid w:val="006B3D08"/>
    <w:rsid w:val="006B4ED3"/>
    <w:rsid w:val="006B5BF2"/>
    <w:rsid w:val="006B5E42"/>
    <w:rsid w:val="006B5FF0"/>
    <w:rsid w:val="006B6EBD"/>
    <w:rsid w:val="006C1097"/>
    <w:rsid w:val="006C37CA"/>
    <w:rsid w:val="006C3EE2"/>
    <w:rsid w:val="006C66C4"/>
    <w:rsid w:val="006C70FF"/>
    <w:rsid w:val="006D19EF"/>
    <w:rsid w:val="006D1A9A"/>
    <w:rsid w:val="006D4591"/>
    <w:rsid w:val="006D73EA"/>
    <w:rsid w:val="006D7F52"/>
    <w:rsid w:val="006D7F58"/>
    <w:rsid w:val="006E18F9"/>
    <w:rsid w:val="006E1F0C"/>
    <w:rsid w:val="006E31DE"/>
    <w:rsid w:val="006E4E8D"/>
    <w:rsid w:val="006E6A07"/>
    <w:rsid w:val="006E7BCF"/>
    <w:rsid w:val="006F006A"/>
    <w:rsid w:val="006F021B"/>
    <w:rsid w:val="006F13A3"/>
    <w:rsid w:val="006F1A51"/>
    <w:rsid w:val="006F3236"/>
    <w:rsid w:val="006F386F"/>
    <w:rsid w:val="006F3C46"/>
    <w:rsid w:val="006F56BE"/>
    <w:rsid w:val="006F59A5"/>
    <w:rsid w:val="007004A2"/>
    <w:rsid w:val="00700751"/>
    <w:rsid w:val="00701DA9"/>
    <w:rsid w:val="0070284D"/>
    <w:rsid w:val="00702AB7"/>
    <w:rsid w:val="00702BE1"/>
    <w:rsid w:val="00703BAC"/>
    <w:rsid w:val="00703F0C"/>
    <w:rsid w:val="007043E0"/>
    <w:rsid w:val="00704817"/>
    <w:rsid w:val="007048FA"/>
    <w:rsid w:val="00705402"/>
    <w:rsid w:val="0070713E"/>
    <w:rsid w:val="00707511"/>
    <w:rsid w:val="00711E14"/>
    <w:rsid w:val="0071241A"/>
    <w:rsid w:val="00712818"/>
    <w:rsid w:val="00712C53"/>
    <w:rsid w:val="00713534"/>
    <w:rsid w:val="00714990"/>
    <w:rsid w:val="007152C3"/>
    <w:rsid w:val="007174AC"/>
    <w:rsid w:val="00720C1F"/>
    <w:rsid w:val="00721943"/>
    <w:rsid w:val="00721D57"/>
    <w:rsid w:val="00722237"/>
    <w:rsid w:val="00723604"/>
    <w:rsid w:val="007240E4"/>
    <w:rsid w:val="0072593D"/>
    <w:rsid w:val="00725BC0"/>
    <w:rsid w:val="00725EC4"/>
    <w:rsid w:val="007271B5"/>
    <w:rsid w:val="007277AB"/>
    <w:rsid w:val="00730CD2"/>
    <w:rsid w:val="00731650"/>
    <w:rsid w:val="00732160"/>
    <w:rsid w:val="0073301A"/>
    <w:rsid w:val="007332B1"/>
    <w:rsid w:val="00734020"/>
    <w:rsid w:val="007343E5"/>
    <w:rsid w:val="00734E8A"/>
    <w:rsid w:val="00735C40"/>
    <w:rsid w:val="00736710"/>
    <w:rsid w:val="0073791E"/>
    <w:rsid w:val="00740634"/>
    <w:rsid w:val="007444F6"/>
    <w:rsid w:val="00745D85"/>
    <w:rsid w:val="0074624A"/>
    <w:rsid w:val="0074672C"/>
    <w:rsid w:val="00750086"/>
    <w:rsid w:val="0075067C"/>
    <w:rsid w:val="00750C62"/>
    <w:rsid w:val="00751873"/>
    <w:rsid w:val="007519E7"/>
    <w:rsid w:val="00751CD0"/>
    <w:rsid w:val="00751FF3"/>
    <w:rsid w:val="0075412A"/>
    <w:rsid w:val="007550E5"/>
    <w:rsid w:val="00757388"/>
    <w:rsid w:val="00762373"/>
    <w:rsid w:val="007626E7"/>
    <w:rsid w:val="0076330D"/>
    <w:rsid w:val="0076629C"/>
    <w:rsid w:val="0076677B"/>
    <w:rsid w:val="007705D6"/>
    <w:rsid w:val="00771530"/>
    <w:rsid w:val="00771A6E"/>
    <w:rsid w:val="00771D8A"/>
    <w:rsid w:val="007728F4"/>
    <w:rsid w:val="00772C91"/>
    <w:rsid w:val="00772D4F"/>
    <w:rsid w:val="0077333D"/>
    <w:rsid w:val="00773DEF"/>
    <w:rsid w:val="00775D1E"/>
    <w:rsid w:val="007764C1"/>
    <w:rsid w:val="0078261E"/>
    <w:rsid w:val="007836EE"/>
    <w:rsid w:val="00783D55"/>
    <w:rsid w:val="00784481"/>
    <w:rsid w:val="0078459B"/>
    <w:rsid w:val="00785673"/>
    <w:rsid w:val="007858FD"/>
    <w:rsid w:val="007866EA"/>
    <w:rsid w:val="007878C3"/>
    <w:rsid w:val="00787DF5"/>
    <w:rsid w:val="0079010E"/>
    <w:rsid w:val="0079021C"/>
    <w:rsid w:val="007907C4"/>
    <w:rsid w:val="007915EE"/>
    <w:rsid w:val="00792F1B"/>
    <w:rsid w:val="00793AFB"/>
    <w:rsid w:val="00793FEB"/>
    <w:rsid w:val="00795C49"/>
    <w:rsid w:val="00795F5A"/>
    <w:rsid w:val="007A0EC9"/>
    <w:rsid w:val="007A13BA"/>
    <w:rsid w:val="007A2583"/>
    <w:rsid w:val="007A319E"/>
    <w:rsid w:val="007A3763"/>
    <w:rsid w:val="007A3BE7"/>
    <w:rsid w:val="007A3FC7"/>
    <w:rsid w:val="007A4D99"/>
    <w:rsid w:val="007A7932"/>
    <w:rsid w:val="007B40A9"/>
    <w:rsid w:val="007B563B"/>
    <w:rsid w:val="007B5D66"/>
    <w:rsid w:val="007B6E5F"/>
    <w:rsid w:val="007C04B3"/>
    <w:rsid w:val="007C1A3F"/>
    <w:rsid w:val="007C22FF"/>
    <w:rsid w:val="007C2FC7"/>
    <w:rsid w:val="007C30E3"/>
    <w:rsid w:val="007C4141"/>
    <w:rsid w:val="007C4E1B"/>
    <w:rsid w:val="007C4EFF"/>
    <w:rsid w:val="007C537A"/>
    <w:rsid w:val="007C6E00"/>
    <w:rsid w:val="007C7F2E"/>
    <w:rsid w:val="007D08AF"/>
    <w:rsid w:val="007D0E45"/>
    <w:rsid w:val="007D12EA"/>
    <w:rsid w:val="007D3724"/>
    <w:rsid w:val="007D6D16"/>
    <w:rsid w:val="007D73A6"/>
    <w:rsid w:val="007D7B96"/>
    <w:rsid w:val="007D7ED3"/>
    <w:rsid w:val="007E03A2"/>
    <w:rsid w:val="007E17D7"/>
    <w:rsid w:val="007E1801"/>
    <w:rsid w:val="007E2530"/>
    <w:rsid w:val="007E2DEF"/>
    <w:rsid w:val="007E2E12"/>
    <w:rsid w:val="007E3003"/>
    <w:rsid w:val="007E41BA"/>
    <w:rsid w:val="007E4AF7"/>
    <w:rsid w:val="007E5C61"/>
    <w:rsid w:val="007E68F4"/>
    <w:rsid w:val="007E6B4D"/>
    <w:rsid w:val="007E75D9"/>
    <w:rsid w:val="007F0E76"/>
    <w:rsid w:val="007F11A3"/>
    <w:rsid w:val="007F374A"/>
    <w:rsid w:val="007F38EE"/>
    <w:rsid w:val="007F5E73"/>
    <w:rsid w:val="007F5F24"/>
    <w:rsid w:val="007F6556"/>
    <w:rsid w:val="007F73B4"/>
    <w:rsid w:val="0080004A"/>
    <w:rsid w:val="008015E4"/>
    <w:rsid w:val="008016AD"/>
    <w:rsid w:val="0080214E"/>
    <w:rsid w:val="0080244D"/>
    <w:rsid w:val="008037EF"/>
    <w:rsid w:val="00803B15"/>
    <w:rsid w:val="00804147"/>
    <w:rsid w:val="0080427E"/>
    <w:rsid w:val="00804A82"/>
    <w:rsid w:val="00805147"/>
    <w:rsid w:val="0080572D"/>
    <w:rsid w:val="0080746E"/>
    <w:rsid w:val="00810141"/>
    <w:rsid w:val="00810720"/>
    <w:rsid w:val="0081083C"/>
    <w:rsid w:val="00810F7B"/>
    <w:rsid w:val="00811362"/>
    <w:rsid w:val="00811845"/>
    <w:rsid w:val="0081217C"/>
    <w:rsid w:val="00813593"/>
    <w:rsid w:val="00813A57"/>
    <w:rsid w:val="00813FD4"/>
    <w:rsid w:val="008142AD"/>
    <w:rsid w:val="00814A3E"/>
    <w:rsid w:val="00815031"/>
    <w:rsid w:val="00815FB2"/>
    <w:rsid w:val="008163A7"/>
    <w:rsid w:val="00816621"/>
    <w:rsid w:val="00825371"/>
    <w:rsid w:val="0082635B"/>
    <w:rsid w:val="008266F3"/>
    <w:rsid w:val="008267A4"/>
    <w:rsid w:val="0083001C"/>
    <w:rsid w:val="00830F51"/>
    <w:rsid w:val="00833540"/>
    <w:rsid w:val="00833F35"/>
    <w:rsid w:val="00834C64"/>
    <w:rsid w:val="0083680C"/>
    <w:rsid w:val="00837A1D"/>
    <w:rsid w:val="00842532"/>
    <w:rsid w:val="0084257B"/>
    <w:rsid w:val="00842943"/>
    <w:rsid w:val="008434BD"/>
    <w:rsid w:val="00843CFE"/>
    <w:rsid w:val="00843FC5"/>
    <w:rsid w:val="00843FD9"/>
    <w:rsid w:val="0084456B"/>
    <w:rsid w:val="00844A1A"/>
    <w:rsid w:val="00844B8B"/>
    <w:rsid w:val="0084507A"/>
    <w:rsid w:val="00851158"/>
    <w:rsid w:val="00852263"/>
    <w:rsid w:val="008529AC"/>
    <w:rsid w:val="00853D11"/>
    <w:rsid w:val="00854041"/>
    <w:rsid w:val="0085404B"/>
    <w:rsid w:val="00854140"/>
    <w:rsid w:val="00854867"/>
    <w:rsid w:val="008554B5"/>
    <w:rsid w:val="0085553D"/>
    <w:rsid w:val="008565C2"/>
    <w:rsid w:val="008569BC"/>
    <w:rsid w:val="00856B0D"/>
    <w:rsid w:val="008572B1"/>
    <w:rsid w:val="008576FC"/>
    <w:rsid w:val="00860A71"/>
    <w:rsid w:val="00863757"/>
    <w:rsid w:val="008638E1"/>
    <w:rsid w:val="008656D5"/>
    <w:rsid w:val="008660EB"/>
    <w:rsid w:val="00866557"/>
    <w:rsid w:val="00870256"/>
    <w:rsid w:val="00871290"/>
    <w:rsid w:val="0087194B"/>
    <w:rsid w:val="00873669"/>
    <w:rsid w:val="008739F7"/>
    <w:rsid w:val="00873D52"/>
    <w:rsid w:val="00874542"/>
    <w:rsid w:val="00874893"/>
    <w:rsid w:val="00874FE5"/>
    <w:rsid w:val="008751BD"/>
    <w:rsid w:val="00876096"/>
    <w:rsid w:val="00876D4A"/>
    <w:rsid w:val="00877160"/>
    <w:rsid w:val="00877B5A"/>
    <w:rsid w:val="00880C9F"/>
    <w:rsid w:val="008814B8"/>
    <w:rsid w:val="0088178A"/>
    <w:rsid w:val="008818F8"/>
    <w:rsid w:val="00881BA6"/>
    <w:rsid w:val="0088212F"/>
    <w:rsid w:val="00882C27"/>
    <w:rsid w:val="00883FAC"/>
    <w:rsid w:val="0088408F"/>
    <w:rsid w:val="008853F9"/>
    <w:rsid w:val="00887668"/>
    <w:rsid w:val="00887B1B"/>
    <w:rsid w:val="00890782"/>
    <w:rsid w:val="00890F3A"/>
    <w:rsid w:val="008912AB"/>
    <w:rsid w:val="0089174F"/>
    <w:rsid w:val="008918BA"/>
    <w:rsid w:val="0089220F"/>
    <w:rsid w:val="00892D7A"/>
    <w:rsid w:val="0089372B"/>
    <w:rsid w:val="00894421"/>
    <w:rsid w:val="008950AF"/>
    <w:rsid w:val="00895207"/>
    <w:rsid w:val="00897D39"/>
    <w:rsid w:val="008A0224"/>
    <w:rsid w:val="008A0DAA"/>
    <w:rsid w:val="008A1CAC"/>
    <w:rsid w:val="008A1CE6"/>
    <w:rsid w:val="008A2DD9"/>
    <w:rsid w:val="008A31F9"/>
    <w:rsid w:val="008A3976"/>
    <w:rsid w:val="008A40F2"/>
    <w:rsid w:val="008A457D"/>
    <w:rsid w:val="008A534D"/>
    <w:rsid w:val="008A5AEC"/>
    <w:rsid w:val="008A5F88"/>
    <w:rsid w:val="008A7944"/>
    <w:rsid w:val="008A7F37"/>
    <w:rsid w:val="008B1E58"/>
    <w:rsid w:val="008B1FC0"/>
    <w:rsid w:val="008B226B"/>
    <w:rsid w:val="008B28E2"/>
    <w:rsid w:val="008B3C5D"/>
    <w:rsid w:val="008B4332"/>
    <w:rsid w:val="008B5079"/>
    <w:rsid w:val="008B664B"/>
    <w:rsid w:val="008B77E0"/>
    <w:rsid w:val="008C04AB"/>
    <w:rsid w:val="008C0FA2"/>
    <w:rsid w:val="008C236D"/>
    <w:rsid w:val="008C2DC1"/>
    <w:rsid w:val="008C2FBF"/>
    <w:rsid w:val="008C3075"/>
    <w:rsid w:val="008C5D5F"/>
    <w:rsid w:val="008C7986"/>
    <w:rsid w:val="008C7EB7"/>
    <w:rsid w:val="008D01FF"/>
    <w:rsid w:val="008D09F2"/>
    <w:rsid w:val="008D0AF7"/>
    <w:rsid w:val="008D1688"/>
    <w:rsid w:val="008D2706"/>
    <w:rsid w:val="008D2F95"/>
    <w:rsid w:val="008D3771"/>
    <w:rsid w:val="008D3B51"/>
    <w:rsid w:val="008D3BE3"/>
    <w:rsid w:val="008D4286"/>
    <w:rsid w:val="008D603A"/>
    <w:rsid w:val="008D64B4"/>
    <w:rsid w:val="008D6698"/>
    <w:rsid w:val="008D7D02"/>
    <w:rsid w:val="008E291F"/>
    <w:rsid w:val="008E2B29"/>
    <w:rsid w:val="008E2D5D"/>
    <w:rsid w:val="008E2E9A"/>
    <w:rsid w:val="008E2F17"/>
    <w:rsid w:val="008E347F"/>
    <w:rsid w:val="008E5088"/>
    <w:rsid w:val="008E556E"/>
    <w:rsid w:val="008E6214"/>
    <w:rsid w:val="008E6971"/>
    <w:rsid w:val="008E741E"/>
    <w:rsid w:val="008F0773"/>
    <w:rsid w:val="008F1373"/>
    <w:rsid w:val="008F2090"/>
    <w:rsid w:val="008F6722"/>
    <w:rsid w:val="008F6D33"/>
    <w:rsid w:val="008F7628"/>
    <w:rsid w:val="008F7650"/>
    <w:rsid w:val="008F7BC7"/>
    <w:rsid w:val="0090008B"/>
    <w:rsid w:val="009006B8"/>
    <w:rsid w:val="00900B23"/>
    <w:rsid w:val="009016E8"/>
    <w:rsid w:val="0090188C"/>
    <w:rsid w:val="00901C33"/>
    <w:rsid w:val="00901E9C"/>
    <w:rsid w:val="00902F78"/>
    <w:rsid w:val="009046D4"/>
    <w:rsid w:val="00904A19"/>
    <w:rsid w:val="00905064"/>
    <w:rsid w:val="00905746"/>
    <w:rsid w:val="00906BED"/>
    <w:rsid w:val="0090732C"/>
    <w:rsid w:val="00907A7F"/>
    <w:rsid w:val="00910DDC"/>
    <w:rsid w:val="009116C9"/>
    <w:rsid w:val="009128AB"/>
    <w:rsid w:val="009133CD"/>
    <w:rsid w:val="00914070"/>
    <w:rsid w:val="009146FF"/>
    <w:rsid w:val="00914835"/>
    <w:rsid w:val="00914D3E"/>
    <w:rsid w:val="00914D82"/>
    <w:rsid w:val="00915008"/>
    <w:rsid w:val="009177C1"/>
    <w:rsid w:val="00920133"/>
    <w:rsid w:val="00921C72"/>
    <w:rsid w:val="00922307"/>
    <w:rsid w:val="00924B81"/>
    <w:rsid w:val="0092523F"/>
    <w:rsid w:val="00926F82"/>
    <w:rsid w:val="009270A2"/>
    <w:rsid w:val="00931AA5"/>
    <w:rsid w:val="00932731"/>
    <w:rsid w:val="00933D51"/>
    <w:rsid w:val="00933F71"/>
    <w:rsid w:val="00934C35"/>
    <w:rsid w:val="00935018"/>
    <w:rsid w:val="0093659F"/>
    <w:rsid w:val="00936BD1"/>
    <w:rsid w:val="0093770F"/>
    <w:rsid w:val="0093795E"/>
    <w:rsid w:val="00940491"/>
    <w:rsid w:val="00940AED"/>
    <w:rsid w:val="00941145"/>
    <w:rsid w:val="00941439"/>
    <w:rsid w:val="00941E21"/>
    <w:rsid w:val="0094200A"/>
    <w:rsid w:val="009424D8"/>
    <w:rsid w:val="00943B01"/>
    <w:rsid w:val="00944CF4"/>
    <w:rsid w:val="00947873"/>
    <w:rsid w:val="00950C7E"/>
    <w:rsid w:val="00951254"/>
    <w:rsid w:val="00951685"/>
    <w:rsid w:val="00951F4E"/>
    <w:rsid w:val="009526EB"/>
    <w:rsid w:val="00952B53"/>
    <w:rsid w:val="00952B85"/>
    <w:rsid w:val="00952F78"/>
    <w:rsid w:val="0096000B"/>
    <w:rsid w:val="00960475"/>
    <w:rsid w:val="00963F1E"/>
    <w:rsid w:val="009640DA"/>
    <w:rsid w:val="00966FD0"/>
    <w:rsid w:val="009670C1"/>
    <w:rsid w:val="00967D15"/>
    <w:rsid w:val="00971164"/>
    <w:rsid w:val="00971A46"/>
    <w:rsid w:val="00971C8B"/>
    <w:rsid w:val="009722A7"/>
    <w:rsid w:val="00972971"/>
    <w:rsid w:val="0097373E"/>
    <w:rsid w:val="00974A9A"/>
    <w:rsid w:val="009756E1"/>
    <w:rsid w:val="00976B61"/>
    <w:rsid w:val="00976ECD"/>
    <w:rsid w:val="00980889"/>
    <w:rsid w:val="00981567"/>
    <w:rsid w:val="00982DBA"/>
    <w:rsid w:val="00984CB3"/>
    <w:rsid w:val="00986743"/>
    <w:rsid w:val="009868C2"/>
    <w:rsid w:val="00987350"/>
    <w:rsid w:val="00991E21"/>
    <w:rsid w:val="009920AE"/>
    <w:rsid w:val="00992DF6"/>
    <w:rsid w:val="0099385E"/>
    <w:rsid w:val="00993A27"/>
    <w:rsid w:val="00993D4F"/>
    <w:rsid w:val="00995629"/>
    <w:rsid w:val="00995DD8"/>
    <w:rsid w:val="009974F6"/>
    <w:rsid w:val="009A0E37"/>
    <w:rsid w:val="009A27D0"/>
    <w:rsid w:val="009A2F6B"/>
    <w:rsid w:val="009A3157"/>
    <w:rsid w:val="009A527F"/>
    <w:rsid w:val="009A6568"/>
    <w:rsid w:val="009A779B"/>
    <w:rsid w:val="009A7AA8"/>
    <w:rsid w:val="009B0E73"/>
    <w:rsid w:val="009B2681"/>
    <w:rsid w:val="009B2B81"/>
    <w:rsid w:val="009B2BAA"/>
    <w:rsid w:val="009B360B"/>
    <w:rsid w:val="009B3655"/>
    <w:rsid w:val="009B45AF"/>
    <w:rsid w:val="009B5894"/>
    <w:rsid w:val="009B6133"/>
    <w:rsid w:val="009B791D"/>
    <w:rsid w:val="009C03C3"/>
    <w:rsid w:val="009C23C9"/>
    <w:rsid w:val="009C2640"/>
    <w:rsid w:val="009C5676"/>
    <w:rsid w:val="009C5D33"/>
    <w:rsid w:val="009C65D4"/>
    <w:rsid w:val="009C7FD4"/>
    <w:rsid w:val="009D058C"/>
    <w:rsid w:val="009D1093"/>
    <w:rsid w:val="009D3B22"/>
    <w:rsid w:val="009D4067"/>
    <w:rsid w:val="009D50E8"/>
    <w:rsid w:val="009D5101"/>
    <w:rsid w:val="009D6022"/>
    <w:rsid w:val="009D613B"/>
    <w:rsid w:val="009D68E2"/>
    <w:rsid w:val="009E072E"/>
    <w:rsid w:val="009E08DC"/>
    <w:rsid w:val="009E1060"/>
    <w:rsid w:val="009E19D5"/>
    <w:rsid w:val="009E27B9"/>
    <w:rsid w:val="009E2E2B"/>
    <w:rsid w:val="009E6E27"/>
    <w:rsid w:val="009F07ED"/>
    <w:rsid w:val="009F240A"/>
    <w:rsid w:val="009F42A4"/>
    <w:rsid w:val="009F458A"/>
    <w:rsid w:val="009F4886"/>
    <w:rsid w:val="009F4CEF"/>
    <w:rsid w:val="009F526A"/>
    <w:rsid w:val="009F5A99"/>
    <w:rsid w:val="009F5B6C"/>
    <w:rsid w:val="009F6C81"/>
    <w:rsid w:val="00A0025E"/>
    <w:rsid w:val="00A01577"/>
    <w:rsid w:val="00A01A66"/>
    <w:rsid w:val="00A01ECB"/>
    <w:rsid w:val="00A02637"/>
    <w:rsid w:val="00A02F11"/>
    <w:rsid w:val="00A03FA8"/>
    <w:rsid w:val="00A048C4"/>
    <w:rsid w:val="00A04B1A"/>
    <w:rsid w:val="00A05109"/>
    <w:rsid w:val="00A05944"/>
    <w:rsid w:val="00A06BDB"/>
    <w:rsid w:val="00A072CB"/>
    <w:rsid w:val="00A07CA7"/>
    <w:rsid w:val="00A10E9D"/>
    <w:rsid w:val="00A1161A"/>
    <w:rsid w:val="00A11668"/>
    <w:rsid w:val="00A11AC9"/>
    <w:rsid w:val="00A11CCB"/>
    <w:rsid w:val="00A1330E"/>
    <w:rsid w:val="00A15D41"/>
    <w:rsid w:val="00A179CB"/>
    <w:rsid w:val="00A20876"/>
    <w:rsid w:val="00A2140F"/>
    <w:rsid w:val="00A21469"/>
    <w:rsid w:val="00A21B73"/>
    <w:rsid w:val="00A21DB5"/>
    <w:rsid w:val="00A22B90"/>
    <w:rsid w:val="00A242D4"/>
    <w:rsid w:val="00A2584C"/>
    <w:rsid w:val="00A264A4"/>
    <w:rsid w:val="00A26690"/>
    <w:rsid w:val="00A27505"/>
    <w:rsid w:val="00A277ED"/>
    <w:rsid w:val="00A302AB"/>
    <w:rsid w:val="00A3228A"/>
    <w:rsid w:val="00A3307F"/>
    <w:rsid w:val="00A33836"/>
    <w:rsid w:val="00A3435E"/>
    <w:rsid w:val="00A34408"/>
    <w:rsid w:val="00A35B70"/>
    <w:rsid w:val="00A3600C"/>
    <w:rsid w:val="00A36D81"/>
    <w:rsid w:val="00A37A7A"/>
    <w:rsid w:val="00A41EB7"/>
    <w:rsid w:val="00A42D2D"/>
    <w:rsid w:val="00A42EEC"/>
    <w:rsid w:val="00A4464A"/>
    <w:rsid w:val="00A452F9"/>
    <w:rsid w:val="00A460A0"/>
    <w:rsid w:val="00A46B34"/>
    <w:rsid w:val="00A5163D"/>
    <w:rsid w:val="00A559F2"/>
    <w:rsid w:val="00A55ACE"/>
    <w:rsid w:val="00A55F13"/>
    <w:rsid w:val="00A55F2B"/>
    <w:rsid w:val="00A5798F"/>
    <w:rsid w:val="00A57A5F"/>
    <w:rsid w:val="00A6050D"/>
    <w:rsid w:val="00A606BC"/>
    <w:rsid w:val="00A60D4D"/>
    <w:rsid w:val="00A612D7"/>
    <w:rsid w:val="00A6215D"/>
    <w:rsid w:val="00A64ADE"/>
    <w:rsid w:val="00A65ACE"/>
    <w:rsid w:val="00A66201"/>
    <w:rsid w:val="00A6738C"/>
    <w:rsid w:val="00A67B8F"/>
    <w:rsid w:val="00A702F1"/>
    <w:rsid w:val="00A71EDE"/>
    <w:rsid w:val="00A72C13"/>
    <w:rsid w:val="00A74527"/>
    <w:rsid w:val="00A74B68"/>
    <w:rsid w:val="00A751A8"/>
    <w:rsid w:val="00A7566C"/>
    <w:rsid w:val="00A75E8F"/>
    <w:rsid w:val="00A77F69"/>
    <w:rsid w:val="00A80A5C"/>
    <w:rsid w:val="00A820ED"/>
    <w:rsid w:val="00A827F0"/>
    <w:rsid w:val="00A85CDE"/>
    <w:rsid w:val="00A86774"/>
    <w:rsid w:val="00A868EB"/>
    <w:rsid w:val="00A93D15"/>
    <w:rsid w:val="00A944D5"/>
    <w:rsid w:val="00A95106"/>
    <w:rsid w:val="00A954ED"/>
    <w:rsid w:val="00A95A12"/>
    <w:rsid w:val="00A978D9"/>
    <w:rsid w:val="00A97A93"/>
    <w:rsid w:val="00AA44EE"/>
    <w:rsid w:val="00AA4C8B"/>
    <w:rsid w:val="00AA50F0"/>
    <w:rsid w:val="00AA5346"/>
    <w:rsid w:val="00AA6401"/>
    <w:rsid w:val="00AA6831"/>
    <w:rsid w:val="00AA68A5"/>
    <w:rsid w:val="00AA7A3D"/>
    <w:rsid w:val="00AB0051"/>
    <w:rsid w:val="00AB02DC"/>
    <w:rsid w:val="00AB1FF8"/>
    <w:rsid w:val="00AB2FB0"/>
    <w:rsid w:val="00AB356B"/>
    <w:rsid w:val="00AB485A"/>
    <w:rsid w:val="00AB4C51"/>
    <w:rsid w:val="00AB75D6"/>
    <w:rsid w:val="00AC0E5B"/>
    <w:rsid w:val="00AC13D2"/>
    <w:rsid w:val="00AC2410"/>
    <w:rsid w:val="00AC5068"/>
    <w:rsid w:val="00AC57DD"/>
    <w:rsid w:val="00AC6D6F"/>
    <w:rsid w:val="00AD0D04"/>
    <w:rsid w:val="00AD2AE7"/>
    <w:rsid w:val="00AD444F"/>
    <w:rsid w:val="00AD4507"/>
    <w:rsid w:val="00AE02FF"/>
    <w:rsid w:val="00AE1498"/>
    <w:rsid w:val="00AE171A"/>
    <w:rsid w:val="00AE17D9"/>
    <w:rsid w:val="00AE3187"/>
    <w:rsid w:val="00AE31BB"/>
    <w:rsid w:val="00AE37C7"/>
    <w:rsid w:val="00AE3F89"/>
    <w:rsid w:val="00AE4390"/>
    <w:rsid w:val="00AE4F2B"/>
    <w:rsid w:val="00AE52E3"/>
    <w:rsid w:val="00AE5DD0"/>
    <w:rsid w:val="00AE5F7A"/>
    <w:rsid w:val="00AE6626"/>
    <w:rsid w:val="00AE6BF9"/>
    <w:rsid w:val="00AE6ED0"/>
    <w:rsid w:val="00AE7998"/>
    <w:rsid w:val="00AF0245"/>
    <w:rsid w:val="00AF1515"/>
    <w:rsid w:val="00AF1910"/>
    <w:rsid w:val="00AF3752"/>
    <w:rsid w:val="00AF3B60"/>
    <w:rsid w:val="00AF4FB8"/>
    <w:rsid w:val="00AF5120"/>
    <w:rsid w:val="00AF5921"/>
    <w:rsid w:val="00AF677B"/>
    <w:rsid w:val="00AF77B6"/>
    <w:rsid w:val="00AF7A0E"/>
    <w:rsid w:val="00B00079"/>
    <w:rsid w:val="00B0009D"/>
    <w:rsid w:val="00B0020A"/>
    <w:rsid w:val="00B00364"/>
    <w:rsid w:val="00B00A6F"/>
    <w:rsid w:val="00B00B7A"/>
    <w:rsid w:val="00B03386"/>
    <w:rsid w:val="00B04BC1"/>
    <w:rsid w:val="00B06EE7"/>
    <w:rsid w:val="00B072EA"/>
    <w:rsid w:val="00B07DCA"/>
    <w:rsid w:val="00B125FC"/>
    <w:rsid w:val="00B12692"/>
    <w:rsid w:val="00B15ABA"/>
    <w:rsid w:val="00B1654B"/>
    <w:rsid w:val="00B16EB0"/>
    <w:rsid w:val="00B17FF8"/>
    <w:rsid w:val="00B209AF"/>
    <w:rsid w:val="00B210C6"/>
    <w:rsid w:val="00B2124B"/>
    <w:rsid w:val="00B2286C"/>
    <w:rsid w:val="00B2554C"/>
    <w:rsid w:val="00B25E2F"/>
    <w:rsid w:val="00B26C4D"/>
    <w:rsid w:val="00B30317"/>
    <w:rsid w:val="00B3055F"/>
    <w:rsid w:val="00B313CD"/>
    <w:rsid w:val="00B330D8"/>
    <w:rsid w:val="00B34419"/>
    <w:rsid w:val="00B34E22"/>
    <w:rsid w:val="00B35B84"/>
    <w:rsid w:val="00B35F37"/>
    <w:rsid w:val="00B3633A"/>
    <w:rsid w:val="00B3710F"/>
    <w:rsid w:val="00B3754B"/>
    <w:rsid w:val="00B37E75"/>
    <w:rsid w:val="00B40D67"/>
    <w:rsid w:val="00B446D8"/>
    <w:rsid w:val="00B448A5"/>
    <w:rsid w:val="00B44EF5"/>
    <w:rsid w:val="00B45EC7"/>
    <w:rsid w:val="00B4626B"/>
    <w:rsid w:val="00B51757"/>
    <w:rsid w:val="00B51ED9"/>
    <w:rsid w:val="00B54439"/>
    <w:rsid w:val="00B6009F"/>
    <w:rsid w:val="00B6037D"/>
    <w:rsid w:val="00B607B1"/>
    <w:rsid w:val="00B60E80"/>
    <w:rsid w:val="00B62B53"/>
    <w:rsid w:val="00B634AC"/>
    <w:rsid w:val="00B6676F"/>
    <w:rsid w:val="00B67127"/>
    <w:rsid w:val="00B74D3F"/>
    <w:rsid w:val="00B75139"/>
    <w:rsid w:val="00B7672C"/>
    <w:rsid w:val="00B823BB"/>
    <w:rsid w:val="00B83DE9"/>
    <w:rsid w:val="00B85DEA"/>
    <w:rsid w:val="00B86544"/>
    <w:rsid w:val="00B905F5"/>
    <w:rsid w:val="00B90B9F"/>
    <w:rsid w:val="00B923C0"/>
    <w:rsid w:val="00B92E22"/>
    <w:rsid w:val="00B93217"/>
    <w:rsid w:val="00B93672"/>
    <w:rsid w:val="00B9436D"/>
    <w:rsid w:val="00B94B0E"/>
    <w:rsid w:val="00B962A3"/>
    <w:rsid w:val="00B96C77"/>
    <w:rsid w:val="00B96E5A"/>
    <w:rsid w:val="00B976EE"/>
    <w:rsid w:val="00BA0CBF"/>
    <w:rsid w:val="00BA0F2D"/>
    <w:rsid w:val="00BA183A"/>
    <w:rsid w:val="00BA1E66"/>
    <w:rsid w:val="00BA24F4"/>
    <w:rsid w:val="00BA25DD"/>
    <w:rsid w:val="00BA2C82"/>
    <w:rsid w:val="00BA3CBA"/>
    <w:rsid w:val="00BA46CA"/>
    <w:rsid w:val="00BA59F0"/>
    <w:rsid w:val="00BA7522"/>
    <w:rsid w:val="00BA778A"/>
    <w:rsid w:val="00BB0F2E"/>
    <w:rsid w:val="00BB163D"/>
    <w:rsid w:val="00BB1EC4"/>
    <w:rsid w:val="00BB2B5A"/>
    <w:rsid w:val="00BB2FDF"/>
    <w:rsid w:val="00BB3831"/>
    <w:rsid w:val="00BB6247"/>
    <w:rsid w:val="00BB629E"/>
    <w:rsid w:val="00BB656F"/>
    <w:rsid w:val="00BC07AA"/>
    <w:rsid w:val="00BC335D"/>
    <w:rsid w:val="00BC4AA8"/>
    <w:rsid w:val="00BC50DD"/>
    <w:rsid w:val="00BC5BC7"/>
    <w:rsid w:val="00BC5C30"/>
    <w:rsid w:val="00BC6252"/>
    <w:rsid w:val="00BC6C2B"/>
    <w:rsid w:val="00BD0361"/>
    <w:rsid w:val="00BD062B"/>
    <w:rsid w:val="00BD15F3"/>
    <w:rsid w:val="00BD1775"/>
    <w:rsid w:val="00BD217F"/>
    <w:rsid w:val="00BD255D"/>
    <w:rsid w:val="00BD3243"/>
    <w:rsid w:val="00BD33C7"/>
    <w:rsid w:val="00BD3922"/>
    <w:rsid w:val="00BD3A42"/>
    <w:rsid w:val="00BD4A98"/>
    <w:rsid w:val="00BE1EA5"/>
    <w:rsid w:val="00BE486A"/>
    <w:rsid w:val="00BE52D3"/>
    <w:rsid w:val="00BE5734"/>
    <w:rsid w:val="00BE7EEC"/>
    <w:rsid w:val="00BF017B"/>
    <w:rsid w:val="00BF0C01"/>
    <w:rsid w:val="00BF1312"/>
    <w:rsid w:val="00BF1399"/>
    <w:rsid w:val="00BF13D0"/>
    <w:rsid w:val="00BF1943"/>
    <w:rsid w:val="00BF256A"/>
    <w:rsid w:val="00BF45CD"/>
    <w:rsid w:val="00BF4B0C"/>
    <w:rsid w:val="00BF6306"/>
    <w:rsid w:val="00C00509"/>
    <w:rsid w:val="00C02BE0"/>
    <w:rsid w:val="00C03B3E"/>
    <w:rsid w:val="00C05B5B"/>
    <w:rsid w:val="00C11792"/>
    <w:rsid w:val="00C1288C"/>
    <w:rsid w:val="00C13A4E"/>
    <w:rsid w:val="00C16963"/>
    <w:rsid w:val="00C17117"/>
    <w:rsid w:val="00C205C9"/>
    <w:rsid w:val="00C210FB"/>
    <w:rsid w:val="00C24CBD"/>
    <w:rsid w:val="00C24FB4"/>
    <w:rsid w:val="00C26117"/>
    <w:rsid w:val="00C2616E"/>
    <w:rsid w:val="00C26228"/>
    <w:rsid w:val="00C26B4C"/>
    <w:rsid w:val="00C26D8F"/>
    <w:rsid w:val="00C27050"/>
    <w:rsid w:val="00C34654"/>
    <w:rsid w:val="00C35382"/>
    <w:rsid w:val="00C35B1B"/>
    <w:rsid w:val="00C366AE"/>
    <w:rsid w:val="00C36A8E"/>
    <w:rsid w:val="00C36AF5"/>
    <w:rsid w:val="00C41519"/>
    <w:rsid w:val="00C42630"/>
    <w:rsid w:val="00C42D8D"/>
    <w:rsid w:val="00C4736F"/>
    <w:rsid w:val="00C50406"/>
    <w:rsid w:val="00C510FA"/>
    <w:rsid w:val="00C51F76"/>
    <w:rsid w:val="00C51F83"/>
    <w:rsid w:val="00C525F2"/>
    <w:rsid w:val="00C52AE0"/>
    <w:rsid w:val="00C534B7"/>
    <w:rsid w:val="00C53C23"/>
    <w:rsid w:val="00C53FA2"/>
    <w:rsid w:val="00C548B2"/>
    <w:rsid w:val="00C563F4"/>
    <w:rsid w:val="00C56583"/>
    <w:rsid w:val="00C5797D"/>
    <w:rsid w:val="00C61CAE"/>
    <w:rsid w:val="00C62ED3"/>
    <w:rsid w:val="00C636C5"/>
    <w:rsid w:val="00C63CA9"/>
    <w:rsid w:val="00C64483"/>
    <w:rsid w:val="00C64AAD"/>
    <w:rsid w:val="00C651B7"/>
    <w:rsid w:val="00C663C1"/>
    <w:rsid w:val="00C678E6"/>
    <w:rsid w:val="00C71630"/>
    <w:rsid w:val="00C718BC"/>
    <w:rsid w:val="00C73172"/>
    <w:rsid w:val="00C73B09"/>
    <w:rsid w:val="00C73E5E"/>
    <w:rsid w:val="00C73F00"/>
    <w:rsid w:val="00C741CF"/>
    <w:rsid w:val="00C75087"/>
    <w:rsid w:val="00C75235"/>
    <w:rsid w:val="00C76BDB"/>
    <w:rsid w:val="00C80331"/>
    <w:rsid w:val="00C805B6"/>
    <w:rsid w:val="00C82643"/>
    <w:rsid w:val="00C82F7D"/>
    <w:rsid w:val="00C847B1"/>
    <w:rsid w:val="00C84839"/>
    <w:rsid w:val="00C85DD2"/>
    <w:rsid w:val="00C86D2C"/>
    <w:rsid w:val="00C90DF0"/>
    <w:rsid w:val="00C9256E"/>
    <w:rsid w:val="00C93BF9"/>
    <w:rsid w:val="00C95623"/>
    <w:rsid w:val="00C96259"/>
    <w:rsid w:val="00C97044"/>
    <w:rsid w:val="00C97FBB"/>
    <w:rsid w:val="00CA0F90"/>
    <w:rsid w:val="00CA2AA2"/>
    <w:rsid w:val="00CA65ED"/>
    <w:rsid w:val="00CB041D"/>
    <w:rsid w:val="00CB1694"/>
    <w:rsid w:val="00CB1B1F"/>
    <w:rsid w:val="00CB2033"/>
    <w:rsid w:val="00CB2443"/>
    <w:rsid w:val="00CB2EF8"/>
    <w:rsid w:val="00CB3B71"/>
    <w:rsid w:val="00CB51C6"/>
    <w:rsid w:val="00CB665F"/>
    <w:rsid w:val="00CC0D36"/>
    <w:rsid w:val="00CC0D50"/>
    <w:rsid w:val="00CC2625"/>
    <w:rsid w:val="00CC2982"/>
    <w:rsid w:val="00CC44C0"/>
    <w:rsid w:val="00CC5BA6"/>
    <w:rsid w:val="00CC60C4"/>
    <w:rsid w:val="00CC6780"/>
    <w:rsid w:val="00CC72EC"/>
    <w:rsid w:val="00CC7C25"/>
    <w:rsid w:val="00CC7F00"/>
    <w:rsid w:val="00CD1D13"/>
    <w:rsid w:val="00CD2263"/>
    <w:rsid w:val="00CD4046"/>
    <w:rsid w:val="00CD4840"/>
    <w:rsid w:val="00CD4AAC"/>
    <w:rsid w:val="00CD4B1F"/>
    <w:rsid w:val="00CD5903"/>
    <w:rsid w:val="00CD59D8"/>
    <w:rsid w:val="00CD637D"/>
    <w:rsid w:val="00CD6C00"/>
    <w:rsid w:val="00CD76C9"/>
    <w:rsid w:val="00CD77B4"/>
    <w:rsid w:val="00CD783E"/>
    <w:rsid w:val="00CD7F36"/>
    <w:rsid w:val="00CE0266"/>
    <w:rsid w:val="00CE09BD"/>
    <w:rsid w:val="00CE0F1C"/>
    <w:rsid w:val="00CE16E9"/>
    <w:rsid w:val="00CE277C"/>
    <w:rsid w:val="00CE30AD"/>
    <w:rsid w:val="00CE60DE"/>
    <w:rsid w:val="00CE70F3"/>
    <w:rsid w:val="00CF09AA"/>
    <w:rsid w:val="00CF0BCF"/>
    <w:rsid w:val="00CF20ED"/>
    <w:rsid w:val="00CF4B69"/>
    <w:rsid w:val="00CF518F"/>
    <w:rsid w:val="00CF52C6"/>
    <w:rsid w:val="00CF5ED8"/>
    <w:rsid w:val="00CF6475"/>
    <w:rsid w:val="00D004FB"/>
    <w:rsid w:val="00D0086E"/>
    <w:rsid w:val="00D01439"/>
    <w:rsid w:val="00D015EC"/>
    <w:rsid w:val="00D016EA"/>
    <w:rsid w:val="00D02963"/>
    <w:rsid w:val="00D03868"/>
    <w:rsid w:val="00D03BCE"/>
    <w:rsid w:val="00D03C14"/>
    <w:rsid w:val="00D04765"/>
    <w:rsid w:val="00D04FF8"/>
    <w:rsid w:val="00D05101"/>
    <w:rsid w:val="00D05324"/>
    <w:rsid w:val="00D0615A"/>
    <w:rsid w:val="00D07A0E"/>
    <w:rsid w:val="00D11163"/>
    <w:rsid w:val="00D116BA"/>
    <w:rsid w:val="00D11AD8"/>
    <w:rsid w:val="00D11DA4"/>
    <w:rsid w:val="00D11ECA"/>
    <w:rsid w:val="00D12981"/>
    <w:rsid w:val="00D14570"/>
    <w:rsid w:val="00D15AD6"/>
    <w:rsid w:val="00D17501"/>
    <w:rsid w:val="00D2191A"/>
    <w:rsid w:val="00D226BA"/>
    <w:rsid w:val="00D24A65"/>
    <w:rsid w:val="00D256D2"/>
    <w:rsid w:val="00D2589D"/>
    <w:rsid w:val="00D25916"/>
    <w:rsid w:val="00D25A74"/>
    <w:rsid w:val="00D25B3E"/>
    <w:rsid w:val="00D26F2C"/>
    <w:rsid w:val="00D276E3"/>
    <w:rsid w:val="00D27AE6"/>
    <w:rsid w:val="00D301AC"/>
    <w:rsid w:val="00D308DC"/>
    <w:rsid w:val="00D31263"/>
    <w:rsid w:val="00D320CB"/>
    <w:rsid w:val="00D325EA"/>
    <w:rsid w:val="00D3307B"/>
    <w:rsid w:val="00D330EE"/>
    <w:rsid w:val="00D34BE8"/>
    <w:rsid w:val="00D34DE1"/>
    <w:rsid w:val="00D35293"/>
    <w:rsid w:val="00D35D55"/>
    <w:rsid w:val="00D37989"/>
    <w:rsid w:val="00D4053A"/>
    <w:rsid w:val="00D409D4"/>
    <w:rsid w:val="00D41F09"/>
    <w:rsid w:val="00D43D54"/>
    <w:rsid w:val="00D43E3B"/>
    <w:rsid w:val="00D43F8E"/>
    <w:rsid w:val="00D43FD2"/>
    <w:rsid w:val="00D4438F"/>
    <w:rsid w:val="00D44687"/>
    <w:rsid w:val="00D449A3"/>
    <w:rsid w:val="00D44E08"/>
    <w:rsid w:val="00D45329"/>
    <w:rsid w:val="00D463BC"/>
    <w:rsid w:val="00D4680A"/>
    <w:rsid w:val="00D46F9C"/>
    <w:rsid w:val="00D512C0"/>
    <w:rsid w:val="00D52B40"/>
    <w:rsid w:val="00D5388F"/>
    <w:rsid w:val="00D542A0"/>
    <w:rsid w:val="00D568AB"/>
    <w:rsid w:val="00D56A57"/>
    <w:rsid w:val="00D5740D"/>
    <w:rsid w:val="00D577FB"/>
    <w:rsid w:val="00D60F45"/>
    <w:rsid w:val="00D611B6"/>
    <w:rsid w:val="00D61A96"/>
    <w:rsid w:val="00D62C4F"/>
    <w:rsid w:val="00D62F21"/>
    <w:rsid w:val="00D62F3D"/>
    <w:rsid w:val="00D63BC4"/>
    <w:rsid w:val="00D64C03"/>
    <w:rsid w:val="00D650F6"/>
    <w:rsid w:val="00D6586B"/>
    <w:rsid w:val="00D665D5"/>
    <w:rsid w:val="00D67477"/>
    <w:rsid w:val="00D676BD"/>
    <w:rsid w:val="00D67C7E"/>
    <w:rsid w:val="00D70FAB"/>
    <w:rsid w:val="00D73444"/>
    <w:rsid w:val="00D741D0"/>
    <w:rsid w:val="00D74A96"/>
    <w:rsid w:val="00D74C4B"/>
    <w:rsid w:val="00D7569C"/>
    <w:rsid w:val="00D75788"/>
    <w:rsid w:val="00D7741E"/>
    <w:rsid w:val="00D8199B"/>
    <w:rsid w:val="00D823B3"/>
    <w:rsid w:val="00D83897"/>
    <w:rsid w:val="00D8514B"/>
    <w:rsid w:val="00D86665"/>
    <w:rsid w:val="00D91684"/>
    <w:rsid w:val="00D9218D"/>
    <w:rsid w:val="00D92CA4"/>
    <w:rsid w:val="00D937DB"/>
    <w:rsid w:val="00D93B83"/>
    <w:rsid w:val="00D95104"/>
    <w:rsid w:val="00D95D2F"/>
    <w:rsid w:val="00D9686B"/>
    <w:rsid w:val="00D9688E"/>
    <w:rsid w:val="00D96E96"/>
    <w:rsid w:val="00DA0396"/>
    <w:rsid w:val="00DA15C5"/>
    <w:rsid w:val="00DA48E7"/>
    <w:rsid w:val="00DA6F83"/>
    <w:rsid w:val="00DA76C6"/>
    <w:rsid w:val="00DA78DB"/>
    <w:rsid w:val="00DA7ACE"/>
    <w:rsid w:val="00DB15A2"/>
    <w:rsid w:val="00DB2F4A"/>
    <w:rsid w:val="00DB323B"/>
    <w:rsid w:val="00DB340A"/>
    <w:rsid w:val="00DB40C9"/>
    <w:rsid w:val="00DB4812"/>
    <w:rsid w:val="00DB69BB"/>
    <w:rsid w:val="00DB6C0C"/>
    <w:rsid w:val="00DC01F8"/>
    <w:rsid w:val="00DC06A4"/>
    <w:rsid w:val="00DC22E6"/>
    <w:rsid w:val="00DC28A8"/>
    <w:rsid w:val="00DC38C5"/>
    <w:rsid w:val="00DC58B4"/>
    <w:rsid w:val="00DC6190"/>
    <w:rsid w:val="00DC7438"/>
    <w:rsid w:val="00DD06D3"/>
    <w:rsid w:val="00DD0886"/>
    <w:rsid w:val="00DD124F"/>
    <w:rsid w:val="00DD2701"/>
    <w:rsid w:val="00DD42DD"/>
    <w:rsid w:val="00DD443F"/>
    <w:rsid w:val="00DD5B0A"/>
    <w:rsid w:val="00DD6050"/>
    <w:rsid w:val="00DD6D0B"/>
    <w:rsid w:val="00DD6F34"/>
    <w:rsid w:val="00DE1885"/>
    <w:rsid w:val="00DE23CC"/>
    <w:rsid w:val="00DE3B3C"/>
    <w:rsid w:val="00DE3F94"/>
    <w:rsid w:val="00DE48D2"/>
    <w:rsid w:val="00DE5DEC"/>
    <w:rsid w:val="00DE611F"/>
    <w:rsid w:val="00DE70C2"/>
    <w:rsid w:val="00DF04D9"/>
    <w:rsid w:val="00DF05CB"/>
    <w:rsid w:val="00DF1350"/>
    <w:rsid w:val="00DF13BA"/>
    <w:rsid w:val="00DF2503"/>
    <w:rsid w:val="00DF50A8"/>
    <w:rsid w:val="00DF5A99"/>
    <w:rsid w:val="00DF72B4"/>
    <w:rsid w:val="00E00294"/>
    <w:rsid w:val="00E00586"/>
    <w:rsid w:val="00E04590"/>
    <w:rsid w:val="00E05BF5"/>
    <w:rsid w:val="00E06139"/>
    <w:rsid w:val="00E06877"/>
    <w:rsid w:val="00E10B1F"/>
    <w:rsid w:val="00E11304"/>
    <w:rsid w:val="00E1145D"/>
    <w:rsid w:val="00E11DCB"/>
    <w:rsid w:val="00E11EF7"/>
    <w:rsid w:val="00E13158"/>
    <w:rsid w:val="00E13831"/>
    <w:rsid w:val="00E13CED"/>
    <w:rsid w:val="00E13DAB"/>
    <w:rsid w:val="00E15F5A"/>
    <w:rsid w:val="00E163F7"/>
    <w:rsid w:val="00E1794C"/>
    <w:rsid w:val="00E23049"/>
    <w:rsid w:val="00E23693"/>
    <w:rsid w:val="00E2402B"/>
    <w:rsid w:val="00E242CA"/>
    <w:rsid w:val="00E25D9A"/>
    <w:rsid w:val="00E26298"/>
    <w:rsid w:val="00E3010B"/>
    <w:rsid w:val="00E3096D"/>
    <w:rsid w:val="00E326FD"/>
    <w:rsid w:val="00E33C56"/>
    <w:rsid w:val="00E33F8D"/>
    <w:rsid w:val="00E34BEB"/>
    <w:rsid w:val="00E35174"/>
    <w:rsid w:val="00E35D22"/>
    <w:rsid w:val="00E36313"/>
    <w:rsid w:val="00E36AB2"/>
    <w:rsid w:val="00E40785"/>
    <w:rsid w:val="00E40A27"/>
    <w:rsid w:val="00E43977"/>
    <w:rsid w:val="00E43E68"/>
    <w:rsid w:val="00E44AF8"/>
    <w:rsid w:val="00E44CDB"/>
    <w:rsid w:val="00E453F0"/>
    <w:rsid w:val="00E45E59"/>
    <w:rsid w:val="00E45F8D"/>
    <w:rsid w:val="00E4612E"/>
    <w:rsid w:val="00E46296"/>
    <w:rsid w:val="00E46486"/>
    <w:rsid w:val="00E47268"/>
    <w:rsid w:val="00E476D9"/>
    <w:rsid w:val="00E47F0D"/>
    <w:rsid w:val="00E5118D"/>
    <w:rsid w:val="00E532F9"/>
    <w:rsid w:val="00E53703"/>
    <w:rsid w:val="00E55DDE"/>
    <w:rsid w:val="00E56DC7"/>
    <w:rsid w:val="00E57459"/>
    <w:rsid w:val="00E57A26"/>
    <w:rsid w:val="00E602BB"/>
    <w:rsid w:val="00E60BCE"/>
    <w:rsid w:val="00E6133F"/>
    <w:rsid w:val="00E61CEA"/>
    <w:rsid w:val="00E6286C"/>
    <w:rsid w:val="00E63D78"/>
    <w:rsid w:val="00E64744"/>
    <w:rsid w:val="00E6560D"/>
    <w:rsid w:val="00E661C1"/>
    <w:rsid w:val="00E66917"/>
    <w:rsid w:val="00E70FCC"/>
    <w:rsid w:val="00E7103D"/>
    <w:rsid w:val="00E71732"/>
    <w:rsid w:val="00E744D6"/>
    <w:rsid w:val="00E74CF6"/>
    <w:rsid w:val="00E803D0"/>
    <w:rsid w:val="00E81B98"/>
    <w:rsid w:val="00E82AE0"/>
    <w:rsid w:val="00E83C5F"/>
    <w:rsid w:val="00E83D9A"/>
    <w:rsid w:val="00E83E34"/>
    <w:rsid w:val="00E84632"/>
    <w:rsid w:val="00E85291"/>
    <w:rsid w:val="00E870C9"/>
    <w:rsid w:val="00E90E70"/>
    <w:rsid w:val="00E916C0"/>
    <w:rsid w:val="00E922F9"/>
    <w:rsid w:val="00E92E21"/>
    <w:rsid w:val="00E936F0"/>
    <w:rsid w:val="00E9413E"/>
    <w:rsid w:val="00E9493B"/>
    <w:rsid w:val="00E94A9C"/>
    <w:rsid w:val="00E9534E"/>
    <w:rsid w:val="00E965A0"/>
    <w:rsid w:val="00E972E5"/>
    <w:rsid w:val="00EA1068"/>
    <w:rsid w:val="00EA34BA"/>
    <w:rsid w:val="00EA461A"/>
    <w:rsid w:val="00EA51BB"/>
    <w:rsid w:val="00EA5AEB"/>
    <w:rsid w:val="00EB0E93"/>
    <w:rsid w:val="00EB15D6"/>
    <w:rsid w:val="00EB242C"/>
    <w:rsid w:val="00EB3302"/>
    <w:rsid w:val="00EB3A26"/>
    <w:rsid w:val="00EB3FAA"/>
    <w:rsid w:val="00EB4E42"/>
    <w:rsid w:val="00EB5212"/>
    <w:rsid w:val="00EB6EAE"/>
    <w:rsid w:val="00EB7427"/>
    <w:rsid w:val="00EC1058"/>
    <w:rsid w:val="00EC13FF"/>
    <w:rsid w:val="00EC2555"/>
    <w:rsid w:val="00EC3B2C"/>
    <w:rsid w:val="00EC3C42"/>
    <w:rsid w:val="00EC3F8F"/>
    <w:rsid w:val="00EC5650"/>
    <w:rsid w:val="00EC5AA1"/>
    <w:rsid w:val="00EC5E6A"/>
    <w:rsid w:val="00EC724A"/>
    <w:rsid w:val="00EC7895"/>
    <w:rsid w:val="00ED1A26"/>
    <w:rsid w:val="00ED1DA2"/>
    <w:rsid w:val="00ED35FB"/>
    <w:rsid w:val="00ED3625"/>
    <w:rsid w:val="00ED3C2A"/>
    <w:rsid w:val="00ED4A2D"/>
    <w:rsid w:val="00ED62C0"/>
    <w:rsid w:val="00ED6463"/>
    <w:rsid w:val="00ED6C9F"/>
    <w:rsid w:val="00ED7FD9"/>
    <w:rsid w:val="00EE0986"/>
    <w:rsid w:val="00EE1613"/>
    <w:rsid w:val="00EE34FA"/>
    <w:rsid w:val="00EE4E7F"/>
    <w:rsid w:val="00EE5E0E"/>
    <w:rsid w:val="00EF0A41"/>
    <w:rsid w:val="00EF110D"/>
    <w:rsid w:val="00EF1117"/>
    <w:rsid w:val="00EF260D"/>
    <w:rsid w:val="00EF29A6"/>
    <w:rsid w:val="00EF4243"/>
    <w:rsid w:val="00EF46CC"/>
    <w:rsid w:val="00EF7603"/>
    <w:rsid w:val="00F00067"/>
    <w:rsid w:val="00F0415F"/>
    <w:rsid w:val="00F0474D"/>
    <w:rsid w:val="00F04EA8"/>
    <w:rsid w:val="00F05011"/>
    <w:rsid w:val="00F05434"/>
    <w:rsid w:val="00F05840"/>
    <w:rsid w:val="00F061BC"/>
    <w:rsid w:val="00F10097"/>
    <w:rsid w:val="00F10E69"/>
    <w:rsid w:val="00F1118C"/>
    <w:rsid w:val="00F14B8B"/>
    <w:rsid w:val="00F14DC2"/>
    <w:rsid w:val="00F154CF"/>
    <w:rsid w:val="00F20D53"/>
    <w:rsid w:val="00F22B76"/>
    <w:rsid w:val="00F23E3F"/>
    <w:rsid w:val="00F275A7"/>
    <w:rsid w:val="00F30F1C"/>
    <w:rsid w:val="00F317A5"/>
    <w:rsid w:val="00F31906"/>
    <w:rsid w:val="00F326FB"/>
    <w:rsid w:val="00F329F5"/>
    <w:rsid w:val="00F3380A"/>
    <w:rsid w:val="00F33CE9"/>
    <w:rsid w:val="00F34A54"/>
    <w:rsid w:val="00F34AAE"/>
    <w:rsid w:val="00F373A7"/>
    <w:rsid w:val="00F40B3F"/>
    <w:rsid w:val="00F418EE"/>
    <w:rsid w:val="00F424F1"/>
    <w:rsid w:val="00F4271F"/>
    <w:rsid w:val="00F4298F"/>
    <w:rsid w:val="00F42EA1"/>
    <w:rsid w:val="00F44831"/>
    <w:rsid w:val="00F45BEC"/>
    <w:rsid w:val="00F5079F"/>
    <w:rsid w:val="00F507EC"/>
    <w:rsid w:val="00F51A5F"/>
    <w:rsid w:val="00F5260D"/>
    <w:rsid w:val="00F52DEE"/>
    <w:rsid w:val="00F52F53"/>
    <w:rsid w:val="00F53DD0"/>
    <w:rsid w:val="00F543E1"/>
    <w:rsid w:val="00F55D07"/>
    <w:rsid w:val="00F570EC"/>
    <w:rsid w:val="00F57122"/>
    <w:rsid w:val="00F57594"/>
    <w:rsid w:val="00F577A5"/>
    <w:rsid w:val="00F6006C"/>
    <w:rsid w:val="00F61B17"/>
    <w:rsid w:val="00F625AE"/>
    <w:rsid w:val="00F63D8E"/>
    <w:rsid w:val="00F650D9"/>
    <w:rsid w:val="00F65F17"/>
    <w:rsid w:val="00F6645D"/>
    <w:rsid w:val="00F67868"/>
    <w:rsid w:val="00F67E75"/>
    <w:rsid w:val="00F717C7"/>
    <w:rsid w:val="00F71D60"/>
    <w:rsid w:val="00F71ECF"/>
    <w:rsid w:val="00F722E8"/>
    <w:rsid w:val="00F72494"/>
    <w:rsid w:val="00F73D1A"/>
    <w:rsid w:val="00F756FA"/>
    <w:rsid w:val="00F77B5B"/>
    <w:rsid w:val="00F80413"/>
    <w:rsid w:val="00F843DC"/>
    <w:rsid w:val="00F859D2"/>
    <w:rsid w:val="00F85EE3"/>
    <w:rsid w:val="00F8687C"/>
    <w:rsid w:val="00F871F4"/>
    <w:rsid w:val="00F90BEF"/>
    <w:rsid w:val="00F90ECF"/>
    <w:rsid w:val="00F92ADC"/>
    <w:rsid w:val="00F9570B"/>
    <w:rsid w:val="00F9685C"/>
    <w:rsid w:val="00F96B49"/>
    <w:rsid w:val="00F96C69"/>
    <w:rsid w:val="00F96D0D"/>
    <w:rsid w:val="00F96DE5"/>
    <w:rsid w:val="00FA0AAD"/>
    <w:rsid w:val="00FA1334"/>
    <w:rsid w:val="00FA276D"/>
    <w:rsid w:val="00FA2C19"/>
    <w:rsid w:val="00FA4E23"/>
    <w:rsid w:val="00FA6F85"/>
    <w:rsid w:val="00FB1904"/>
    <w:rsid w:val="00FB1A31"/>
    <w:rsid w:val="00FB2DF6"/>
    <w:rsid w:val="00FB344C"/>
    <w:rsid w:val="00FB3A9D"/>
    <w:rsid w:val="00FB3EB9"/>
    <w:rsid w:val="00FB41D2"/>
    <w:rsid w:val="00FB44F5"/>
    <w:rsid w:val="00FB485A"/>
    <w:rsid w:val="00FB49FE"/>
    <w:rsid w:val="00FB6DB2"/>
    <w:rsid w:val="00FB6DC3"/>
    <w:rsid w:val="00FC0958"/>
    <w:rsid w:val="00FC1477"/>
    <w:rsid w:val="00FC1DEE"/>
    <w:rsid w:val="00FC28B7"/>
    <w:rsid w:val="00FC2A62"/>
    <w:rsid w:val="00FC44BE"/>
    <w:rsid w:val="00FC44CD"/>
    <w:rsid w:val="00FC5D9E"/>
    <w:rsid w:val="00FC7090"/>
    <w:rsid w:val="00FC7637"/>
    <w:rsid w:val="00FD01E3"/>
    <w:rsid w:val="00FD03CE"/>
    <w:rsid w:val="00FD0FE7"/>
    <w:rsid w:val="00FD1546"/>
    <w:rsid w:val="00FD17C4"/>
    <w:rsid w:val="00FD3B65"/>
    <w:rsid w:val="00FD48A5"/>
    <w:rsid w:val="00FD6D8E"/>
    <w:rsid w:val="00FD771A"/>
    <w:rsid w:val="00FD7A69"/>
    <w:rsid w:val="00FE04D0"/>
    <w:rsid w:val="00FE2FBD"/>
    <w:rsid w:val="00FE38EF"/>
    <w:rsid w:val="00FE53D8"/>
    <w:rsid w:val="00FE6683"/>
    <w:rsid w:val="00FE69BC"/>
    <w:rsid w:val="00FF0BF5"/>
    <w:rsid w:val="00FF124F"/>
    <w:rsid w:val="00FF14DB"/>
    <w:rsid w:val="00FF3117"/>
    <w:rsid w:val="00FF4147"/>
    <w:rsid w:val="00FF4388"/>
    <w:rsid w:val="00FF4E72"/>
    <w:rsid w:val="00FF6018"/>
    <w:rsid w:val="00FF6FC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691CA5"/>
  <w15:docId w15:val="{AF117497-4A86-4E57-A565-129F2F89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507"/>
    <w:pPr>
      <w:spacing w:after="160" w:line="345" w:lineRule="exact"/>
    </w:pPr>
    <w:rPr>
      <w:rFonts w:ascii="Arial" w:eastAsiaTheme="minorHAnsi" w:hAnsi="Arial" w:cstheme="minorBidi"/>
      <w:sz w:val="24"/>
      <w:szCs w:val="22"/>
      <w:lang w:eastAsia="en-US"/>
    </w:rPr>
  </w:style>
  <w:style w:type="paragraph" w:styleId="Heading1">
    <w:name w:val="heading 1"/>
    <w:basedOn w:val="Normal"/>
    <w:next w:val="Normal"/>
    <w:link w:val="Heading1Char"/>
    <w:autoRedefine/>
    <w:uiPriority w:val="9"/>
    <w:qFormat/>
    <w:rsid w:val="00895207"/>
    <w:pPr>
      <w:keepNext/>
      <w:keepLines/>
      <w:pBdr>
        <w:bottom w:val="single" w:sz="4" w:space="1" w:color="D9D9D9" w:themeColor="background1" w:themeShade="D9"/>
      </w:pBdr>
      <w:spacing w:before="450" w:after="225" w:line="240" w:lineRule="auto"/>
      <w:ind w:right="-3060"/>
      <w:outlineLvl w:val="0"/>
    </w:pPr>
    <w:rPr>
      <w:rFonts w:cs="Arial"/>
      <w:b/>
      <w:bCs/>
      <w:sz w:val="40"/>
      <w:szCs w:val="40"/>
    </w:rPr>
  </w:style>
  <w:style w:type="paragraph" w:styleId="Heading2">
    <w:name w:val="heading 2"/>
    <w:basedOn w:val="Normal"/>
    <w:next w:val="Normal"/>
    <w:link w:val="Heading2Char"/>
    <w:autoRedefine/>
    <w:uiPriority w:val="9"/>
    <w:unhideWhenUsed/>
    <w:qFormat/>
    <w:rsid w:val="000A6694"/>
    <w:pPr>
      <w:keepNext/>
      <w:keepLines/>
      <w:shd w:val="clear" w:color="auto" w:fill="FFFFFF"/>
      <w:outlineLvl w:val="1"/>
    </w:pPr>
    <w:rPr>
      <w:b/>
      <w:bCs/>
      <w:color w:val="000000"/>
      <w:sz w:val="36"/>
      <w:szCs w:val="36"/>
      <w:lang w:val="fr-CA" w:eastAsia="en-CA"/>
    </w:rPr>
  </w:style>
  <w:style w:type="paragraph" w:styleId="Heading3">
    <w:name w:val="heading 3"/>
    <w:basedOn w:val="Normal"/>
    <w:next w:val="Normal"/>
    <w:link w:val="Heading3Char"/>
    <w:autoRedefine/>
    <w:uiPriority w:val="9"/>
    <w:unhideWhenUsed/>
    <w:qFormat/>
    <w:rsid w:val="007D6D16"/>
    <w:pPr>
      <w:spacing w:before="480" w:after="173"/>
      <w:outlineLvl w:val="2"/>
    </w:pPr>
    <w:rPr>
      <w:rFonts w:eastAsia="Times New Roman" w:cs="Arial"/>
      <w:b/>
      <w:spacing w:val="-17"/>
      <w:sz w:val="32"/>
      <w:szCs w:val="32"/>
      <w:u w:color="0461C1"/>
      <w:lang w:val="fr-CA" w:eastAsia="en-CA" w:bidi="en-US"/>
    </w:rPr>
  </w:style>
  <w:style w:type="paragraph" w:styleId="Heading4">
    <w:name w:val="heading 4"/>
    <w:basedOn w:val="Normal"/>
    <w:next w:val="Normal"/>
    <w:link w:val="Heading4Char"/>
    <w:autoRedefine/>
    <w:uiPriority w:val="9"/>
    <w:unhideWhenUsed/>
    <w:qFormat/>
    <w:rsid w:val="00F71D60"/>
    <w:pPr>
      <w:spacing w:before="390" w:after="173"/>
      <w:outlineLvl w:val="3"/>
    </w:pPr>
    <w:rPr>
      <w:b/>
      <w:szCs w:val="24"/>
      <w:lang w:val="fr-CA"/>
    </w:rPr>
  </w:style>
  <w:style w:type="paragraph" w:styleId="Heading5">
    <w:name w:val="heading 5"/>
    <w:basedOn w:val="Normal"/>
    <w:next w:val="Normal"/>
    <w:link w:val="Heading5Char"/>
    <w:autoRedefine/>
    <w:uiPriority w:val="9"/>
    <w:unhideWhenUsed/>
    <w:qFormat/>
    <w:rsid w:val="0009076B"/>
    <w:pPr>
      <w:spacing w:before="345" w:after="173"/>
      <w:outlineLvl w:val="4"/>
    </w:pPr>
    <w:rPr>
      <w:b/>
      <w:lang w:val="fr-CA"/>
    </w:rPr>
  </w:style>
  <w:style w:type="paragraph" w:styleId="Heading6">
    <w:name w:val="heading 6"/>
    <w:basedOn w:val="Normal"/>
    <w:next w:val="Normal"/>
    <w:link w:val="Heading6Char"/>
    <w:autoRedefine/>
    <w:uiPriority w:val="9"/>
    <w:unhideWhenUsed/>
    <w:qFormat/>
    <w:rsid w:val="008D0AF7"/>
    <w:pPr>
      <w:spacing w:before="315" w:after="173"/>
      <w:outlineLvl w:val="5"/>
    </w:pPr>
    <w:rPr>
      <w:b/>
      <w:sz w:val="21"/>
      <w:szCs w:val="21"/>
    </w:rPr>
  </w:style>
  <w:style w:type="paragraph" w:styleId="Heading7">
    <w:name w:val="heading 7"/>
    <w:basedOn w:val="Normal"/>
    <w:next w:val="Normal"/>
    <w:link w:val="Heading7Char"/>
    <w:uiPriority w:val="9"/>
    <w:semiHidden/>
    <w:unhideWhenUsed/>
    <w:qFormat/>
    <w:rsid w:val="00DE3F94"/>
    <w:pPr>
      <w:spacing w:after="0"/>
      <w:outlineLvl w:val="6"/>
    </w:pPr>
    <w:rPr>
      <w:rFonts w:ascii="Cambria" w:hAnsi="Cambria"/>
      <w:i/>
      <w:iCs/>
      <w:sz w:val="20"/>
      <w:szCs w:val="20"/>
    </w:rPr>
  </w:style>
  <w:style w:type="paragraph" w:styleId="Heading8">
    <w:name w:val="heading 8"/>
    <w:basedOn w:val="Normal"/>
    <w:next w:val="Normal"/>
    <w:link w:val="Heading8Char"/>
    <w:uiPriority w:val="9"/>
    <w:semiHidden/>
    <w:unhideWhenUsed/>
    <w:qFormat/>
    <w:rsid w:val="00DE3F94"/>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DE3F94"/>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AF7"/>
    <w:rPr>
      <w:rFonts w:ascii="Arial" w:eastAsiaTheme="minorHAnsi" w:hAnsi="Arial" w:cstheme="minorBidi"/>
      <w:noProof/>
      <w:sz w:val="24"/>
      <w:szCs w:val="22"/>
      <w:lang w:eastAsia="en-US"/>
    </w:rPr>
  </w:style>
  <w:style w:type="paragraph" w:styleId="Footer">
    <w:name w:val="footer"/>
    <w:basedOn w:val="Normal"/>
    <w:link w:val="FooterChar"/>
    <w:uiPriority w:val="99"/>
    <w:unhideWhenUsed/>
    <w:rsid w:val="008D0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AF7"/>
    <w:rPr>
      <w:rFonts w:ascii="Arial" w:eastAsiaTheme="minorHAnsi" w:hAnsi="Arial" w:cstheme="minorBidi"/>
      <w:noProof/>
      <w:sz w:val="24"/>
      <w:szCs w:val="22"/>
      <w:lang w:eastAsia="en-US"/>
    </w:rPr>
  </w:style>
  <w:style w:type="paragraph" w:styleId="BalloonText">
    <w:name w:val="Balloon Text"/>
    <w:basedOn w:val="Normal"/>
    <w:link w:val="BalloonTextChar"/>
    <w:uiPriority w:val="99"/>
    <w:semiHidden/>
    <w:unhideWhenUsed/>
    <w:rsid w:val="008D0A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0AF7"/>
    <w:rPr>
      <w:rFonts w:ascii="Tahoma" w:eastAsiaTheme="minorHAnsi" w:hAnsi="Tahoma" w:cs="Tahoma"/>
      <w:noProof/>
      <w:sz w:val="16"/>
      <w:szCs w:val="16"/>
      <w:lang w:eastAsia="en-US"/>
    </w:rPr>
  </w:style>
  <w:style w:type="table" w:styleId="TableGrid">
    <w:name w:val="Table Grid"/>
    <w:basedOn w:val="TableNormal"/>
    <w:uiPriority w:val="59"/>
    <w:rsid w:val="008D0AF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815FB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Hyperlink">
    <w:name w:val="Hyperlink"/>
    <w:uiPriority w:val="99"/>
    <w:unhideWhenUsed/>
    <w:rsid w:val="008D0AF7"/>
    <w:rPr>
      <w:color w:val="2004EC"/>
      <w:u w:val="single"/>
    </w:rPr>
  </w:style>
  <w:style w:type="paragraph" w:styleId="NormalWeb">
    <w:name w:val="Normal (Web)"/>
    <w:basedOn w:val="Normal"/>
    <w:uiPriority w:val="99"/>
    <w:semiHidden/>
    <w:unhideWhenUsed/>
    <w:rsid w:val="000C7E8E"/>
    <w:pPr>
      <w:spacing w:before="100" w:beforeAutospacing="1" w:after="100" w:afterAutospacing="1" w:line="240" w:lineRule="auto"/>
    </w:pPr>
    <w:rPr>
      <w:rFonts w:ascii="Times New Roman" w:hAnsi="Times New Roman"/>
      <w:szCs w:val="24"/>
    </w:rPr>
  </w:style>
  <w:style w:type="character" w:styleId="Strong">
    <w:name w:val="Strong"/>
    <w:uiPriority w:val="22"/>
    <w:qFormat/>
    <w:rsid w:val="00DE3F94"/>
    <w:rPr>
      <w:b/>
      <w:bCs/>
    </w:rPr>
  </w:style>
  <w:style w:type="character" w:styleId="Emphasis">
    <w:name w:val="Emphasis"/>
    <w:uiPriority w:val="20"/>
    <w:qFormat/>
    <w:rsid w:val="00DE3F94"/>
    <w:rPr>
      <w:b/>
      <w:bCs/>
      <w:i/>
      <w:iCs/>
      <w:spacing w:val="10"/>
      <w:bdr w:val="none" w:sz="0" w:space="0" w:color="auto"/>
      <w:shd w:val="clear" w:color="auto" w:fill="auto"/>
    </w:rPr>
  </w:style>
  <w:style w:type="character" w:customStyle="1" w:styleId="Heading1Char">
    <w:name w:val="Heading 1 Char"/>
    <w:link w:val="Heading1"/>
    <w:uiPriority w:val="9"/>
    <w:rsid w:val="00895207"/>
    <w:rPr>
      <w:rFonts w:ascii="Arial" w:eastAsiaTheme="minorHAnsi" w:hAnsi="Arial" w:cs="Arial"/>
      <w:b/>
      <w:bCs/>
      <w:sz w:val="40"/>
      <w:szCs w:val="40"/>
      <w:lang w:eastAsia="en-US"/>
    </w:rPr>
  </w:style>
  <w:style w:type="paragraph" w:styleId="ListParagraph">
    <w:name w:val="List Paragraph"/>
    <w:basedOn w:val="Normal"/>
    <w:uiPriority w:val="1"/>
    <w:qFormat/>
    <w:rsid w:val="008D0AF7"/>
    <w:pPr>
      <w:ind w:left="720"/>
      <w:contextualSpacing/>
    </w:pPr>
  </w:style>
  <w:style w:type="character" w:customStyle="1" w:styleId="Heading2Char">
    <w:name w:val="Heading 2 Char"/>
    <w:link w:val="Heading2"/>
    <w:uiPriority w:val="9"/>
    <w:rsid w:val="000A6694"/>
    <w:rPr>
      <w:rFonts w:ascii="Arial" w:eastAsiaTheme="minorHAnsi" w:hAnsi="Arial" w:cstheme="minorBidi"/>
      <w:b/>
      <w:bCs/>
      <w:color w:val="000000"/>
      <w:sz w:val="36"/>
      <w:szCs w:val="36"/>
      <w:shd w:val="clear" w:color="auto" w:fill="FFFFFF"/>
      <w:lang w:val="fr-CA"/>
    </w:rPr>
  </w:style>
  <w:style w:type="character" w:customStyle="1" w:styleId="Heading3Char">
    <w:name w:val="Heading 3 Char"/>
    <w:link w:val="Heading3"/>
    <w:uiPriority w:val="9"/>
    <w:rsid w:val="007D6D16"/>
    <w:rPr>
      <w:rFonts w:ascii="Arial" w:hAnsi="Arial" w:cs="Arial"/>
      <w:b/>
      <w:spacing w:val="-17"/>
      <w:sz w:val="32"/>
      <w:szCs w:val="32"/>
      <w:u w:color="0461C1"/>
      <w:lang w:val="fr-CA" w:bidi="en-US"/>
    </w:rPr>
  </w:style>
  <w:style w:type="character" w:customStyle="1" w:styleId="Heading4Char">
    <w:name w:val="Heading 4 Char"/>
    <w:basedOn w:val="DefaultParagraphFont"/>
    <w:link w:val="Heading4"/>
    <w:uiPriority w:val="9"/>
    <w:rsid w:val="00F71D60"/>
    <w:rPr>
      <w:rFonts w:ascii="Arial" w:eastAsiaTheme="minorHAnsi" w:hAnsi="Arial" w:cstheme="minorBidi"/>
      <w:b/>
      <w:sz w:val="24"/>
      <w:szCs w:val="24"/>
      <w:lang w:val="fr-CA" w:eastAsia="en-US"/>
    </w:rPr>
  </w:style>
  <w:style w:type="character" w:customStyle="1" w:styleId="Heading5Char">
    <w:name w:val="Heading 5 Char"/>
    <w:basedOn w:val="DefaultParagraphFont"/>
    <w:link w:val="Heading5"/>
    <w:uiPriority w:val="9"/>
    <w:rsid w:val="0009076B"/>
    <w:rPr>
      <w:rFonts w:ascii="Arial" w:eastAsiaTheme="minorHAnsi" w:hAnsi="Arial" w:cstheme="minorBidi"/>
      <w:b/>
      <w:sz w:val="24"/>
      <w:szCs w:val="22"/>
      <w:lang w:val="fr-CA" w:eastAsia="en-US"/>
    </w:rPr>
  </w:style>
  <w:style w:type="character" w:customStyle="1" w:styleId="Heading6Char">
    <w:name w:val="Heading 6 Char"/>
    <w:basedOn w:val="DefaultParagraphFont"/>
    <w:link w:val="Heading6"/>
    <w:uiPriority w:val="9"/>
    <w:rsid w:val="008D0AF7"/>
    <w:rPr>
      <w:rFonts w:ascii="Arial" w:eastAsiaTheme="minorHAnsi" w:hAnsi="Arial" w:cstheme="minorBidi"/>
      <w:b/>
      <w:noProof/>
      <w:sz w:val="21"/>
      <w:szCs w:val="21"/>
      <w:lang w:eastAsia="en-US"/>
    </w:rPr>
  </w:style>
  <w:style w:type="character" w:customStyle="1" w:styleId="Heading7Char">
    <w:name w:val="Heading 7 Char"/>
    <w:link w:val="Heading7"/>
    <w:uiPriority w:val="9"/>
    <w:semiHidden/>
    <w:rsid w:val="00DE3F94"/>
    <w:rPr>
      <w:rFonts w:ascii="Cambria" w:eastAsia="Times New Roman" w:hAnsi="Cambria" w:cs="Times New Roman"/>
      <w:i/>
      <w:iCs/>
    </w:rPr>
  </w:style>
  <w:style w:type="character" w:customStyle="1" w:styleId="Heading8Char">
    <w:name w:val="Heading 8 Char"/>
    <w:link w:val="Heading8"/>
    <w:uiPriority w:val="9"/>
    <w:semiHidden/>
    <w:rsid w:val="00DE3F94"/>
    <w:rPr>
      <w:rFonts w:ascii="Cambria" w:eastAsia="Times New Roman" w:hAnsi="Cambria" w:cs="Times New Roman"/>
      <w:sz w:val="20"/>
      <w:szCs w:val="20"/>
    </w:rPr>
  </w:style>
  <w:style w:type="character" w:customStyle="1" w:styleId="Heading9Char">
    <w:name w:val="Heading 9 Char"/>
    <w:link w:val="Heading9"/>
    <w:uiPriority w:val="9"/>
    <w:semiHidden/>
    <w:rsid w:val="00DE3F94"/>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DE3F94"/>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DE3F94"/>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DE3F94"/>
    <w:pPr>
      <w:spacing w:after="600"/>
    </w:pPr>
    <w:rPr>
      <w:rFonts w:ascii="Cambria" w:hAnsi="Cambria"/>
      <w:i/>
      <w:iCs/>
      <w:spacing w:val="13"/>
      <w:szCs w:val="24"/>
    </w:rPr>
  </w:style>
  <w:style w:type="character" w:customStyle="1" w:styleId="SubtitleChar">
    <w:name w:val="Subtitle Char"/>
    <w:link w:val="Subtitle"/>
    <w:uiPriority w:val="11"/>
    <w:rsid w:val="00DE3F94"/>
    <w:rPr>
      <w:rFonts w:ascii="Cambria" w:eastAsia="Times New Roman" w:hAnsi="Cambria" w:cs="Times New Roman"/>
      <w:i/>
      <w:iCs/>
      <w:spacing w:val="13"/>
      <w:sz w:val="24"/>
      <w:szCs w:val="24"/>
    </w:rPr>
  </w:style>
  <w:style w:type="paragraph" w:styleId="NoSpacing">
    <w:name w:val="No Spacing"/>
    <w:uiPriority w:val="1"/>
    <w:rsid w:val="008D0AF7"/>
    <w:rPr>
      <w:sz w:val="22"/>
      <w:szCs w:val="22"/>
      <w:lang w:val="en-US" w:eastAsia="en-US" w:bidi="en-US"/>
    </w:rPr>
  </w:style>
  <w:style w:type="paragraph" w:styleId="Quote">
    <w:name w:val="Quote"/>
    <w:aliases w:val="Blockquote"/>
    <w:basedOn w:val="Normal"/>
    <w:next w:val="Normal"/>
    <w:link w:val="QuoteChar"/>
    <w:autoRedefine/>
    <w:uiPriority w:val="29"/>
    <w:qFormat/>
    <w:rsid w:val="008D0AF7"/>
    <w:pPr>
      <w:pBdr>
        <w:left w:val="single" w:sz="12" w:space="4" w:color="D9D9D9" w:themeColor="background1" w:themeShade="D9"/>
      </w:pBdr>
      <w:spacing w:before="200" w:after="345"/>
      <w:ind w:left="113"/>
    </w:pPr>
    <w:rPr>
      <w:iCs/>
      <w:color w:val="404040" w:themeColor="text1" w:themeTint="BF"/>
    </w:rPr>
  </w:style>
  <w:style w:type="character" w:customStyle="1" w:styleId="QuoteChar">
    <w:name w:val="Quote Char"/>
    <w:aliases w:val="Blockquote Char"/>
    <w:basedOn w:val="DefaultParagraphFont"/>
    <w:link w:val="Quote"/>
    <w:uiPriority w:val="29"/>
    <w:rsid w:val="008D0AF7"/>
    <w:rPr>
      <w:rFonts w:ascii="Arial" w:eastAsiaTheme="minorHAnsi" w:hAnsi="Arial" w:cstheme="minorBidi"/>
      <w:iCs/>
      <w:noProof/>
      <w:color w:val="404040" w:themeColor="text1" w:themeTint="BF"/>
      <w:sz w:val="24"/>
      <w:szCs w:val="22"/>
      <w:lang w:eastAsia="en-US"/>
    </w:rPr>
  </w:style>
  <w:style w:type="paragraph" w:styleId="IntenseQuote">
    <w:name w:val="Intense Quote"/>
    <w:basedOn w:val="Normal"/>
    <w:next w:val="Normal"/>
    <w:link w:val="IntenseQuoteChar"/>
    <w:uiPriority w:val="30"/>
    <w:qFormat/>
    <w:rsid w:val="00DE3F94"/>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DE3F94"/>
    <w:rPr>
      <w:b/>
      <w:bCs/>
      <w:i/>
      <w:iCs/>
    </w:rPr>
  </w:style>
  <w:style w:type="character" w:styleId="SubtleEmphasis">
    <w:name w:val="Subtle Emphasis"/>
    <w:uiPriority w:val="19"/>
    <w:qFormat/>
    <w:rsid w:val="00DE3F94"/>
    <w:rPr>
      <w:i/>
      <w:iCs/>
    </w:rPr>
  </w:style>
  <w:style w:type="character" w:styleId="IntenseEmphasis">
    <w:name w:val="Intense Emphasis"/>
    <w:uiPriority w:val="21"/>
    <w:qFormat/>
    <w:rsid w:val="00DE3F94"/>
    <w:rPr>
      <w:b/>
      <w:bCs/>
    </w:rPr>
  </w:style>
  <w:style w:type="character" w:styleId="SubtleReference">
    <w:name w:val="Subtle Reference"/>
    <w:uiPriority w:val="31"/>
    <w:qFormat/>
    <w:rsid w:val="00DE3F94"/>
    <w:rPr>
      <w:smallCaps/>
    </w:rPr>
  </w:style>
  <w:style w:type="character" w:styleId="IntenseReference">
    <w:name w:val="Intense Reference"/>
    <w:uiPriority w:val="32"/>
    <w:qFormat/>
    <w:rsid w:val="00DE3F94"/>
    <w:rPr>
      <w:smallCaps/>
      <w:spacing w:val="5"/>
      <w:u w:val="single"/>
    </w:rPr>
  </w:style>
  <w:style w:type="character" w:styleId="BookTitle">
    <w:name w:val="Book Title"/>
    <w:uiPriority w:val="33"/>
    <w:qFormat/>
    <w:rsid w:val="00DE3F94"/>
    <w:rPr>
      <w:i/>
      <w:iCs/>
      <w:smallCaps/>
      <w:spacing w:val="5"/>
    </w:rPr>
  </w:style>
  <w:style w:type="paragraph" w:styleId="TOCHeading">
    <w:name w:val="TOC Heading"/>
    <w:basedOn w:val="Heading1"/>
    <w:next w:val="Normal"/>
    <w:uiPriority w:val="39"/>
    <w:semiHidden/>
    <w:unhideWhenUsed/>
    <w:qFormat/>
    <w:rsid w:val="00DE3F94"/>
    <w:pPr>
      <w:outlineLvl w:val="9"/>
    </w:pPr>
  </w:style>
  <w:style w:type="character" w:styleId="FollowedHyperlink">
    <w:name w:val="FollowedHyperlink"/>
    <w:basedOn w:val="DefaultParagraphFont"/>
    <w:uiPriority w:val="99"/>
    <w:semiHidden/>
    <w:unhideWhenUsed/>
    <w:rsid w:val="008D0AF7"/>
    <w:rPr>
      <w:color w:val="954F72" w:themeColor="followedHyperlink"/>
      <w:u w:val="single"/>
    </w:rPr>
  </w:style>
  <w:style w:type="character" w:styleId="CommentReference">
    <w:name w:val="annotation reference"/>
    <w:basedOn w:val="DefaultParagraphFont"/>
    <w:uiPriority w:val="99"/>
    <w:semiHidden/>
    <w:unhideWhenUsed/>
    <w:rsid w:val="008D0AF7"/>
    <w:rPr>
      <w:sz w:val="16"/>
      <w:szCs w:val="16"/>
    </w:rPr>
  </w:style>
  <w:style w:type="paragraph" w:styleId="CommentText">
    <w:name w:val="annotation text"/>
    <w:basedOn w:val="Normal"/>
    <w:link w:val="CommentTextChar"/>
    <w:uiPriority w:val="99"/>
    <w:unhideWhenUsed/>
    <w:rsid w:val="008D0AF7"/>
    <w:pPr>
      <w:spacing w:line="240" w:lineRule="auto"/>
    </w:pPr>
    <w:rPr>
      <w:sz w:val="20"/>
      <w:szCs w:val="20"/>
    </w:rPr>
  </w:style>
  <w:style w:type="character" w:customStyle="1" w:styleId="CommentTextChar">
    <w:name w:val="Comment Text Char"/>
    <w:basedOn w:val="DefaultParagraphFont"/>
    <w:link w:val="CommentText"/>
    <w:uiPriority w:val="99"/>
    <w:rsid w:val="008D0AF7"/>
    <w:rPr>
      <w:rFonts w:ascii="Arial" w:eastAsiaTheme="minorHAnsi" w:hAnsi="Arial" w:cstheme="minorBidi"/>
      <w:noProof/>
      <w:lang w:eastAsia="en-US"/>
    </w:rPr>
  </w:style>
  <w:style w:type="paragraph" w:styleId="CommentSubject">
    <w:name w:val="annotation subject"/>
    <w:basedOn w:val="CommentText"/>
    <w:next w:val="CommentText"/>
    <w:link w:val="CommentSubjectChar"/>
    <w:uiPriority w:val="99"/>
    <w:semiHidden/>
    <w:unhideWhenUsed/>
    <w:rsid w:val="008D0AF7"/>
    <w:rPr>
      <w:b/>
      <w:bCs/>
    </w:rPr>
  </w:style>
  <w:style w:type="character" w:customStyle="1" w:styleId="CommentSubjectChar">
    <w:name w:val="Comment Subject Char"/>
    <w:basedOn w:val="CommentTextChar"/>
    <w:link w:val="CommentSubject"/>
    <w:uiPriority w:val="99"/>
    <w:semiHidden/>
    <w:rsid w:val="008D0AF7"/>
    <w:rPr>
      <w:rFonts w:ascii="Arial" w:eastAsiaTheme="minorHAnsi" w:hAnsi="Arial" w:cstheme="minorBidi"/>
      <w:b/>
      <w:bCs/>
      <w:noProof/>
      <w:lang w:eastAsia="en-US"/>
    </w:rPr>
  </w:style>
  <w:style w:type="paragraph" w:styleId="Revision">
    <w:name w:val="Revision"/>
    <w:hidden/>
    <w:uiPriority w:val="99"/>
    <w:semiHidden/>
    <w:rsid w:val="0060043F"/>
    <w:rPr>
      <w:sz w:val="22"/>
      <w:szCs w:val="22"/>
      <w:lang w:val="en-US" w:eastAsia="en-US" w:bidi="en-US"/>
    </w:rPr>
  </w:style>
  <w:style w:type="character" w:styleId="PlaceholderText">
    <w:name w:val="Placeholder Text"/>
    <w:uiPriority w:val="99"/>
    <w:semiHidden/>
    <w:rsid w:val="008D0AF7"/>
    <w:rPr>
      <w:color w:val="808080"/>
    </w:rPr>
  </w:style>
  <w:style w:type="paragraph" w:styleId="PlainText">
    <w:name w:val="Plain Text"/>
    <w:basedOn w:val="Normal"/>
    <w:link w:val="PlainTextChar"/>
    <w:uiPriority w:val="99"/>
    <w:unhideWhenUsed/>
    <w:rsid w:val="00A827F0"/>
    <w:pPr>
      <w:spacing w:after="0" w:line="240" w:lineRule="auto"/>
    </w:pPr>
    <w:rPr>
      <w:rFonts w:cs="Calibri"/>
    </w:rPr>
  </w:style>
  <w:style w:type="character" w:customStyle="1" w:styleId="PlainTextChar">
    <w:name w:val="Plain Text Char"/>
    <w:basedOn w:val="DefaultParagraphFont"/>
    <w:link w:val="PlainText"/>
    <w:uiPriority w:val="99"/>
    <w:rsid w:val="00A827F0"/>
    <w:rPr>
      <w:rFonts w:eastAsiaTheme="minorHAnsi" w:cs="Calibri"/>
      <w:sz w:val="22"/>
      <w:szCs w:val="22"/>
      <w:lang w:eastAsia="en-US"/>
    </w:rPr>
  </w:style>
  <w:style w:type="paragraph" w:customStyle="1" w:styleId="Well">
    <w:name w:val="Well"/>
    <w:basedOn w:val="Normal"/>
    <w:link w:val="WellChar"/>
    <w:uiPriority w:val="9"/>
    <w:qFormat/>
    <w:rsid w:val="008D0AF7"/>
    <w:pPr>
      <w:pBdr>
        <w:top w:val="single" w:sz="12" w:space="14" w:color="D9D9D9" w:themeColor="background1" w:themeShade="D9"/>
        <w:left w:val="single" w:sz="12" w:space="14" w:color="D9D9D9" w:themeColor="background1" w:themeShade="D9"/>
        <w:bottom w:val="single" w:sz="12" w:space="14" w:color="D9D9D9" w:themeColor="background1" w:themeShade="D9"/>
        <w:right w:val="single" w:sz="12" w:space="14" w:color="D9D9D9" w:themeColor="background1" w:themeShade="D9"/>
      </w:pBdr>
      <w:shd w:val="clear" w:color="auto" w:fill="F2F2F2" w:themeFill="background1" w:themeFillShade="F2"/>
      <w:spacing w:after="300"/>
      <w:ind w:left="284" w:right="284"/>
    </w:pPr>
  </w:style>
  <w:style w:type="character" w:customStyle="1" w:styleId="WellChar">
    <w:name w:val="Well Char"/>
    <w:basedOn w:val="DefaultParagraphFont"/>
    <w:link w:val="Well"/>
    <w:uiPriority w:val="9"/>
    <w:rsid w:val="008D0AF7"/>
    <w:rPr>
      <w:rFonts w:ascii="Arial" w:eastAsiaTheme="minorHAnsi" w:hAnsi="Arial" w:cstheme="minorBidi"/>
      <w:noProof/>
      <w:sz w:val="24"/>
      <w:szCs w:val="22"/>
      <w:shd w:val="clear" w:color="auto" w:fill="F2F2F2" w:themeFill="background1" w:themeFillShade="F2"/>
      <w:lang w:eastAsia="en-US"/>
    </w:rPr>
  </w:style>
  <w:style w:type="table" w:customStyle="1" w:styleId="WETTable">
    <w:name w:val="WET Table"/>
    <w:basedOn w:val="TableNormal"/>
    <w:uiPriority w:val="99"/>
    <w:rsid w:val="008D0AF7"/>
    <w:rPr>
      <w:rFonts w:ascii="Arial" w:eastAsia="Calibri" w:hAnsi="Arial"/>
      <w:sz w:val="24"/>
    </w:rPr>
    <w:tblPr>
      <w:tblStyleRowBandSize w:val="1"/>
      <w:tblStyleColBandSize w:val="1"/>
      <w:tblCellMar>
        <w:top w:w="120" w:type="dxa"/>
        <w:left w:w="120" w:type="dxa"/>
        <w:bottom w:w="120" w:type="dxa"/>
        <w:right w:w="120" w:type="dxa"/>
      </w:tblCellMar>
    </w:tblPr>
    <w:tblStylePr w:type="firstRow">
      <w:rPr>
        <w:rFonts w:ascii="Arial" w:hAnsi="Arial"/>
        <w:b/>
      </w:rPr>
      <w:tblPr/>
      <w:tcPr>
        <w:tcBorders>
          <w:top w:val="nil"/>
          <w:left w:val="nil"/>
          <w:bottom w:val="single" w:sz="8" w:space="0" w:color="D9D9D9" w:themeColor="background1" w:themeShade="D9"/>
          <w:right w:val="nil"/>
          <w:insideH w:val="nil"/>
          <w:insideV w:val="nil"/>
        </w:tcBorders>
      </w:tcPr>
    </w:tblStylePr>
    <w:tblStylePr w:type="band1Horz">
      <w:rPr>
        <w:rFonts w:ascii="Arial" w:hAnsi="Arial"/>
        <w:sz w:val="24"/>
      </w:rPr>
      <w:tblPr/>
      <w:tcPr>
        <w:tcBorders>
          <w:top w:val="single" w:sz="4" w:space="0" w:color="D9D9D9" w:themeColor="background1" w:themeShade="D9"/>
        </w:tcBorders>
        <w:shd w:val="clear" w:color="auto" w:fill="F2F2F2" w:themeFill="background1" w:themeFillShade="F2"/>
      </w:tcPr>
    </w:tblStylePr>
    <w:tblStylePr w:type="band2Horz">
      <w:tblPr/>
      <w:tcPr>
        <w:tcBorders>
          <w:top w:val="single" w:sz="4" w:space="0" w:color="D9D9D9" w:themeColor="background1" w:themeShade="D9"/>
        </w:tcBorders>
      </w:tcPr>
    </w:tblStylePr>
  </w:style>
  <w:style w:type="paragraph" w:customStyle="1" w:styleId="Tablecaption">
    <w:name w:val="Table caption"/>
    <w:basedOn w:val="Heading5"/>
    <w:link w:val="TablecaptionChar"/>
    <w:uiPriority w:val="10"/>
    <w:qFormat/>
    <w:rsid w:val="008D0AF7"/>
    <w:pPr>
      <w:jc w:val="center"/>
    </w:pPr>
  </w:style>
  <w:style w:type="character" w:customStyle="1" w:styleId="TablecaptionChar">
    <w:name w:val="Table caption Char"/>
    <w:basedOn w:val="Heading5Char"/>
    <w:link w:val="Tablecaption"/>
    <w:uiPriority w:val="10"/>
    <w:rsid w:val="008D0AF7"/>
    <w:rPr>
      <w:rFonts w:ascii="Arial" w:eastAsiaTheme="minorHAnsi" w:hAnsi="Arial" w:cstheme="minorBidi"/>
      <w:b/>
      <w:noProof/>
      <w:sz w:val="24"/>
      <w:szCs w:val="22"/>
      <w:lang w:val="fr-CA" w:eastAsia="en-US"/>
    </w:rPr>
  </w:style>
  <w:style w:type="table" w:customStyle="1" w:styleId="TableGrid1">
    <w:name w:val="Table Grid1"/>
    <w:basedOn w:val="TableNormal"/>
    <w:next w:val="TableGrid"/>
    <w:uiPriority w:val="59"/>
    <w:rsid w:val="008D0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33C3A"/>
    <w:pPr>
      <w:widowControl w:val="0"/>
      <w:autoSpaceDE w:val="0"/>
      <w:autoSpaceDN w:val="0"/>
      <w:spacing w:after="0" w:line="240" w:lineRule="auto"/>
      <w:ind w:left="237"/>
    </w:pPr>
    <w:rPr>
      <w:rFonts w:ascii="Times New Roman" w:eastAsia="Times New Roman" w:hAnsi="Times New Roman" w:cs="Times New Roman"/>
      <w:sz w:val="22"/>
      <w:lang w:val="fr-FR" w:eastAsia="fr-FR" w:bidi="fr-FR"/>
    </w:rPr>
  </w:style>
  <w:style w:type="character" w:customStyle="1" w:styleId="BodyTextChar">
    <w:name w:val="Body Text Char"/>
    <w:basedOn w:val="DefaultParagraphFont"/>
    <w:link w:val="BodyText"/>
    <w:uiPriority w:val="1"/>
    <w:rsid w:val="00033C3A"/>
    <w:rPr>
      <w:rFonts w:ascii="Times New Roman" w:hAnsi="Times New Roman"/>
      <w:sz w:val="22"/>
      <w:szCs w:val="22"/>
      <w:lang w:val="fr-FR" w:eastAsia="fr-FR" w:bidi="fr-FR"/>
    </w:rPr>
  </w:style>
  <w:style w:type="paragraph" w:customStyle="1" w:styleId="TableParagraph">
    <w:name w:val="Table Paragraph"/>
    <w:basedOn w:val="Normal"/>
    <w:uiPriority w:val="1"/>
    <w:qFormat/>
    <w:rsid w:val="00BD1775"/>
    <w:pPr>
      <w:widowControl w:val="0"/>
      <w:autoSpaceDE w:val="0"/>
      <w:autoSpaceDN w:val="0"/>
      <w:spacing w:after="0" w:line="240" w:lineRule="auto"/>
      <w:ind w:left="102"/>
    </w:pPr>
    <w:rPr>
      <w:rFonts w:ascii="Times New Roman" w:eastAsia="Times New Roman" w:hAnsi="Times New Roman" w:cs="Times New Roman"/>
      <w:sz w:val="22"/>
      <w:lang w:val="fr-FR" w:eastAsia="fr-FR" w:bidi="fr-FR"/>
    </w:rPr>
  </w:style>
  <w:style w:type="paragraph" w:styleId="HTMLPreformatted">
    <w:name w:val="HTML Preformatted"/>
    <w:basedOn w:val="Normal"/>
    <w:link w:val="HTMLPreformattedChar"/>
    <w:uiPriority w:val="99"/>
    <w:semiHidden/>
    <w:unhideWhenUsed/>
    <w:rsid w:val="009E1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9E19D5"/>
    <w:rPr>
      <w:rFonts w:ascii="Courier New" w:hAnsi="Courier New" w:cs="Courier New"/>
      <w:lang w:eastAsia="zh-CN"/>
    </w:rPr>
  </w:style>
  <w:style w:type="character" w:styleId="HTMLDefinition">
    <w:name w:val="HTML Definition"/>
    <w:basedOn w:val="DefaultParagraphFont"/>
    <w:uiPriority w:val="99"/>
    <w:semiHidden/>
    <w:unhideWhenUsed/>
    <w:rsid w:val="009E19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5522">
      <w:bodyDiv w:val="1"/>
      <w:marLeft w:val="0"/>
      <w:marRight w:val="0"/>
      <w:marTop w:val="0"/>
      <w:marBottom w:val="0"/>
      <w:divBdr>
        <w:top w:val="none" w:sz="0" w:space="0" w:color="auto"/>
        <w:left w:val="none" w:sz="0" w:space="0" w:color="auto"/>
        <w:bottom w:val="none" w:sz="0" w:space="0" w:color="auto"/>
        <w:right w:val="none" w:sz="0" w:space="0" w:color="auto"/>
      </w:divBdr>
      <w:divsChild>
        <w:div w:id="1700354835">
          <w:marLeft w:val="0"/>
          <w:marRight w:val="0"/>
          <w:marTop w:val="0"/>
          <w:marBottom w:val="0"/>
          <w:divBdr>
            <w:top w:val="none" w:sz="0" w:space="0" w:color="auto"/>
            <w:left w:val="none" w:sz="0" w:space="0" w:color="auto"/>
            <w:bottom w:val="none" w:sz="0" w:space="0" w:color="auto"/>
            <w:right w:val="none" w:sz="0" w:space="0" w:color="auto"/>
          </w:divBdr>
          <w:divsChild>
            <w:div w:id="1783256643">
              <w:marLeft w:val="0"/>
              <w:marRight w:val="0"/>
              <w:marTop w:val="0"/>
              <w:marBottom w:val="0"/>
              <w:divBdr>
                <w:top w:val="none" w:sz="0" w:space="0" w:color="auto"/>
                <w:left w:val="none" w:sz="0" w:space="0" w:color="auto"/>
                <w:bottom w:val="none" w:sz="0" w:space="0" w:color="auto"/>
                <w:right w:val="none" w:sz="0" w:space="0" w:color="auto"/>
              </w:divBdr>
              <w:divsChild>
                <w:div w:id="979043611">
                  <w:marLeft w:val="0"/>
                  <w:marRight w:val="0"/>
                  <w:marTop w:val="0"/>
                  <w:marBottom w:val="0"/>
                  <w:divBdr>
                    <w:top w:val="none" w:sz="0" w:space="0" w:color="auto"/>
                    <w:left w:val="none" w:sz="0" w:space="0" w:color="auto"/>
                    <w:bottom w:val="none" w:sz="0" w:space="0" w:color="auto"/>
                    <w:right w:val="none" w:sz="0" w:space="0" w:color="auto"/>
                  </w:divBdr>
                  <w:divsChild>
                    <w:div w:id="786192785">
                      <w:marLeft w:val="0"/>
                      <w:marRight w:val="0"/>
                      <w:marTop w:val="0"/>
                      <w:marBottom w:val="0"/>
                      <w:divBdr>
                        <w:top w:val="none" w:sz="0" w:space="0" w:color="auto"/>
                        <w:left w:val="none" w:sz="0" w:space="0" w:color="auto"/>
                        <w:bottom w:val="none" w:sz="0" w:space="0" w:color="auto"/>
                        <w:right w:val="none" w:sz="0" w:space="0" w:color="auto"/>
                      </w:divBdr>
                      <w:divsChild>
                        <w:div w:id="1796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76526">
      <w:bodyDiv w:val="1"/>
      <w:marLeft w:val="0"/>
      <w:marRight w:val="0"/>
      <w:marTop w:val="0"/>
      <w:marBottom w:val="0"/>
      <w:divBdr>
        <w:top w:val="none" w:sz="0" w:space="0" w:color="auto"/>
        <w:left w:val="none" w:sz="0" w:space="0" w:color="auto"/>
        <w:bottom w:val="none" w:sz="0" w:space="0" w:color="auto"/>
        <w:right w:val="none" w:sz="0" w:space="0" w:color="auto"/>
      </w:divBdr>
      <w:divsChild>
        <w:div w:id="1791971347">
          <w:marLeft w:val="0"/>
          <w:marRight w:val="0"/>
          <w:marTop w:val="0"/>
          <w:marBottom w:val="0"/>
          <w:divBdr>
            <w:top w:val="none" w:sz="0" w:space="0" w:color="auto"/>
            <w:left w:val="none" w:sz="0" w:space="0" w:color="auto"/>
            <w:bottom w:val="none" w:sz="0" w:space="0" w:color="auto"/>
            <w:right w:val="none" w:sz="0" w:space="0" w:color="auto"/>
          </w:divBdr>
          <w:divsChild>
            <w:div w:id="1590231059">
              <w:marLeft w:val="0"/>
              <w:marRight w:val="0"/>
              <w:marTop w:val="0"/>
              <w:marBottom w:val="0"/>
              <w:divBdr>
                <w:top w:val="none" w:sz="0" w:space="0" w:color="auto"/>
                <w:left w:val="none" w:sz="0" w:space="0" w:color="auto"/>
                <w:bottom w:val="none" w:sz="0" w:space="0" w:color="auto"/>
                <w:right w:val="none" w:sz="0" w:space="0" w:color="auto"/>
              </w:divBdr>
              <w:divsChild>
                <w:div w:id="1577544213">
                  <w:marLeft w:val="0"/>
                  <w:marRight w:val="0"/>
                  <w:marTop w:val="0"/>
                  <w:marBottom w:val="0"/>
                  <w:divBdr>
                    <w:top w:val="none" w:sz="0" w:space="0" w:color="auto"/>
                    <w:left w:val="none" w:sz="0" w:space="0" w:color="auto"/>
                    <w:bottom w:val="none" w:sz="0" w:space="0" w:color="auto"/>
                    <w:right w:val="none" w:sz="0" w:space="0" w:color="auto"/>
                  </w:divBdr>
                  <w:divsChild>
                    <w:div w:id="301662574">
                      <w:marLeft w:val="0"/>
                      <w:marRight w:val="0"/>
                      <w:marTop w:val="0"/>
                      <w:marBottom w:val="0"/>
                      <w:divBdr>
                        <w:top w:val="none" w:sz="0" w:space="0" w:color="auto"/>
                        <w:left w:val="none" w:sz="0" w:space="0" w:color="auto"/>
                        <w:bottom w:val="none" w:sz="0" w:space="0" w:color="auto"/>
                        <w:right w:val="none" w:sz="0" w:space="0" w:color="auto"/>
                      </w:divBdr>
                      <w:divsChild>
                        <w:div w:id="15043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03688">
      <w:bodyDiv w:val="1"/>
      <w:marLeft w:val="0"/>
      <w:marRight w:val="0"/>
      <w:marTop w:val="0"/>
      <w:marBottom w:val="0"/>
      <w:divBdr>
        <w:top w:val="none" w:sz="0" w:space="0" w:color="auto"/>
        <w:left w:val="none" w:sz="0" w:space="0" w:color="auto"/>
        <w:bottom w:val="none" w:sz="0" w:space="0" w:color="auto"/>
        <w:right w:val="none" w:sz="0" w:space="0" w:color="auto"/>
      </w:divBdr>
      <w:divsChild>
        <w:div w:id="237862751">
          <w:marLeft w:val="0"/>
          <w:marRight w:val="0"/>
          <w:marTop w:val="0"/>
          <w:marBottom w:val="0"/>
          <w:divBdr>
            <w:top w:val="none" w:sz="0" w:space="0" w:color="auto"/>
            <w:left w:val="none" w:sz="0" w:space="0" w:color="auto"/>
            <w:bottom w:val="none" w:sz="0" w:space="0" w:color="auto"/>
            <w:right w:val="none" w:sz="0" w:space="0" w:color="auto"/>
          </w:divBdr>
          <w:divsChild>
            <w:div w:id="1266110296">
              <w:marLeft w:val="0"/>
              <w:marRight w:val="0"/>
              <w:marTop w:val="0"/>
              <w:marBottom w:val="0"/>
              <w:divBdr>
                <w:top w:val="none" w:sz="0" w:space="0" w:color="auto"/>
                <w:left w:val="none" w:sz="0" w:space="0" w:color="auto"/>
                <w:bottom w:val="none" w:sz="0" w:space="0" w:color="auto"/>
                <w:right w:val="none" w:sz="0" w:space="0" w:color="auto"/>
              </w:divBdr>
              <w:divsChild>
                <w:div w:id="314644987">
                  <w:marLeft w:val="0"/>
                  <w:marRight w:val="0"/>
                  <w:marTop w:val="0"/>
                  <w:marBottom w:val="0"/>
                  <w:divBdr>
                    <w:top w:val="none" w:sz="0" w:space="0" w:color="auto"/>
                    <w:left w:val="none" w:sz="0" w:space="0" w:color="auto"/>
                    <w:bottom w:val="none" w:sz="0" w:space="0" w:color="auto"/>
                    <w:right w:val="none" w:sz="0" w:space="0" w:color="auto"/>
                  </w:divBdr>
                  <w:divsChild>
                    <w:div w:id="1021510109">
                      <w:marLeft w:val="0"/>
                      <w:marRight w:val="0"/>
                      <w:marTop w:val="0"/>
                      <w:marBottom w:val="0"/>
                      <w:divBdr>
                        <w:top w:val="none" w:sz="0" w:space="0" w:color="auto"/>
                        <w:left w:val="none" w:sz="0" w:space="0" w:color="auto"/>
                        <w:bottom w:val="none" w:sz="0" w:space="0" w:color="auto"/>
                        <w:right w:val="none" w:sz="0" w:space="0" w:color="auto"/>
                      </w:divBdr>
                      <w:divsChild>
                        <w:div w:id="8571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58547">
      <w:bodyDiv w:val="1"/>
      <w:marLeft w:val="0"/>
      <w:marRight w:val="0"/>
      <w:marTop w:val="0"/>
      <w:marBottom w:val="0"/>
      <w:divBdr>
        <w:top w:val="none" w:sz="0" w:space="0" w:color="auto"/>
        <w:left w:val="none" w:sz="0" w:space="0" w:color="auto"/>
        <w:bottom w:val="none" w:sz="0" w:space="0" w:color="auto"/>
        <w:right w:val="none" w:sz="0" w:space="0" w:color="auto"/>
      </w:divBdr>
      <w:divsChild>
        <w:div w:id="761797294">
          <w:marLeft w:val="0"/>
          <w:marRight w:val="0"/>
          <w:marTop w:val="0"/>
          <w:marBottom w:val="0"/>
          <w:divBdr>
            <w:top w:val="none" w:sz="0" w:space="0" w:color="auto"/>
            <w:left w:val="none" w:sz="0" w:space="0" w:color="auto"/>
            <w:bottom w:val="none" w:sz="0" w:space="0" w:color="auto"/>
            <w:right w:val="none" w:sz="0" w:space="0" w:color="auto"/>
          </w:divBdr>
          <w:divsChild>
            <w:div w:id="1442917484">
              <w:marLeft w:val="0"/>
              <w:marRight w:val="0"/>
              <w:marTop w:val="0"/>
              <w:marBottom w:val="0"/>
              <w:divBdr>
                <w:top w:val="none" w:sz="0" w:space="0" w:color="auto"/>
                <w:left w:val="none" w:sz="0" w:space="0" w:color="auto"/>
                <w:bottom w:val="none" w:sz="0" w:space="0" w:color="auto"/>
                <w:right w:val="none" w:sz="0" w:space="0" w:color="auto"/>
              </w:divBdr>
              <w:divsChild>
                <w:div w:id="1867910547">
                  <w:marLeft w:val="0"/>
                  <w:marRight w:val="0"/>
                  <w:marTop w:val="0"/>
                  <w:marBottom w:val="0"/>
                  <w:divBdr>
                    <w:top w:val="none" w:sz="0" w:space="0" w:color="auto"/>
                    <w:left w:val="none" w:sz="0" w:space="0" w:color="auto"/>
                    <w:bottom w:val="none" w:sz="0" w:space="0" w:color="auto"/>
                    <w:right w:val="none" w:sz="0" w:space="0" w:color="auto"/>
                  </w:divBdr>
                  <w:divsChild>
                    <w:div w:id="1912689416">
                      <w:marLeft w:val="0"/>
                      <w:marRight w:val="0"/>
                      <w:marTop w:val="0"/>
                      <w:marBottom w:val="0"/>
                      <w:divBdr>
                        <w:top w:val="none" w:sz="0" w:space="0" w:color="auto"/>
                        <w:left w:val="none" w:sz="0" w:space="0" w:color="auto"/>
                        <w:bottom w:val="none" w:sz="0" w:space="0" w:color="auto"/>
                        <w:right w:val="none" w:sz="0" w:space="0" w:color="auto"/>
                      </w:divBdr>
                      <w:divsChild>
                        <w:div w:id="1034039269">
                          <w:marLeft w:val="0"/>
                          <w:marRight w:val="0"/>
                          <w:marTop w:val="0"/>
                          <w:marBottom w:val="0"/>
                          <w:divBdr>
                            <w:top w:val="none" w:sz="0" w:space="0" w:color="auto"/>
                            <w:left w:val="none" w:sz="0" w:space="0" w:color="auto"/>
                            <w:bottom w:val="none" w:sz="0" w:space="0" w:color="auto"/>
                            <w:right w:val="none" w:sz="0" w:space="0" w:color="auto"/>
                          </w:divBdr>
                          <w:divsChild>
                            <w:div w:id="113975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017198">
      <w:bodyDiv w:val="1"/>
      <w:marLeft w:val="0"/>
      <w:marRight w:val="0"/>
      <w:marTop w:val="0"/>
      <w:marBottom w:val="0"/>
      <w:divBdr>
        <w:top w:val="none" w:sz="0" w:space="0" w:color="auto"/>
        <w:left w:val="none" w:sz="0" w:space="0" w:color="auto"/>
        <w:bottom w:val="none" w:sz="0" w:space="0" w:color="auto"/>
        <w:right w:val="none" w:sz="0" w:space="0" w:color="auto"/>
      </w:divBdr>
      <w:divsChild>
        <w:div w:id="868876502">
          <w:marLeft w:val="0"/>
          <w:marRight w:val="0"/>
          <w:marTop w:val="0"/>
          <w:marBottom w:val="0"/>
          <w:divBdr>
            <w:top w:val="none" w:sz="0" w:space="0" w:color="auto"/>
            <w:left w:val="none" w:sz="0" w:space="0" w:color="auto"/>
            <w:bottom w:val="none" w:sz="0" w:space="0" w:color="auto"/>
            <w:right w:val="none" w:sz="0" w:space="0" w:color="auto"/>
          </w:divBdr>
          <w:divsChild>
            <w:div w:id="1503812906">
              <w:marLeft w:val="0"/>
              <w:marRight w:val="0"/>
              <w:marTop w:val="0"/>
              <w:marBottom w:val="0"/>
              <w:divBdr>
                <w:top w:val="none" w:sz="0" w:space="0" w:color="auto"/>
                <w:left w:val="none" w:sz="0" w:space="0" w:color="auto"/>
                <w:bottom w:val="none" w:sz="0" w:space="0" w:color="auto"/>
                <w:right w:val="none" w:sz="0" w:space="0" w:color="auto"/>
              </w:divBdr>
              <w:divsChild>
                <w:div w:id="2043630817">
                  <w:marLeft w:val="0"/>
                  <w:marRight w:val="0"/>
                  <w:marTop w:val="0"/>
                  <w:marBottom w:val="0"/>
                  <w:divBdr>
                    <w:top w:val="none" w:sz="0" w:space="0" w:color="auto"/>
                    <w:left w:val="none" w:sz="0" w:space="0" w:color="auto"/>
                    <w:bottom w:val="none" w:sz="0" w:space="0" w:color="auto"/>
                    <w:right w:val="none" w:sz="0" w:space="0" w:color="auto"/>
                  </w:divBdr>
                  <w:divsChild>
                    <w:div w:id="1049376775">
                      <w:marLeft w:val="0"/>
                      <w:marRight w:val="0"/>
                      <w:marTop w:val="0"/>
                      <w:marBottom w:val="0"/>
                      <w:divBdr>
                        <w:top w:val="none" w:sz="0" w:space="0" w:color="auto"/>
                        <w:left w:val="none" w:sz="0" w:space="0" w:color="auto"/>
                        <w:bottom w:val="none" w:sz="0" w:space="0" w:color="auto"/>
                        <w:right w:val="none" w:sz="0" w:space="0" w:color="auto"/>
                      </w:divBdr>
                      <w:divsChild>
                        <w:div w:id="5803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471934">
      <w:bodyDiv w:val="1"/>
      <w:marLeft w:val="0"/>
      <w:marRight w:val="0"/>
      <w:marTop w:val="0"/>
      <w:marBottom w:val="0"/>
      <w:divBdr>
        <w:top w:val="none" w:sz="0" w:space="0" w:color="auto"/>
        <w:left w:val="none" w:sz="0" w:space="0" w:color="auto"/>
        <w:bottom w:val="none" w:sz="0" w:space="0" w:color="auto"/>
        <w:right w:val="none" w:sz="0" w:space="0" w:color="auto"/>
      </w:divBdr>
    </w:div>
    <w:div w:id="366948521">
      <w:bodyDiv w:val="1"/>
      <w:marLeft w:val="0"/>
      <w:marRight w:val="0"/>
      <w:marTop w:val="0"/>
      <w:marBottom w:val="0"/>
      <w:divBdr>
        <w:top w:val="none" w:sz="0" w:space="0" w:color="auto"/>
        <w:left w:val="none" w:sz="0" w:space="0" w:color="auto"/>
        <w:bottom w:val="none" w:sz="0" w:space="0" w:color="auto"/>
        <w:right w:val="none" w:sz="0" w:space="0" w:color="auto"/>
      </w:divBdr>
    </w:div>
    <w:div w:id="471798521">
      <w:bodyDiv w:val="1"/>
      <w:marLeft w:val="0"/>
      <w:marRight w:val="0"/>
      <w:marTop w:val="0"/>
      <w:marBottom w:val="0"/>
      <w:divBdr>
        <w:top w:val="none" w:sz="0" w:space="0" w:color="auto"/>
        <w:left w:val="none" w:sz="0" w:space="0" w:color="auto"/>
        <w:bottom w:val="none" w:sz="0" w:space="0" w:color="auto"/>
        <w:right w:val="none" w:sz="0" w:space="0" w:color="auto"/>
      </w:divBdr>
      <w:divsChild>
        <w:div w:id="1635983089">
          <w:marLeft w:val="0"/>
          <w:marRight w:val="0"/>
          <w:marTop w:val="0"/>
          <w:marBottom w:val="0"/>
          <w:divBdr>
            <w:top w:val="none" w:sz="0" w:space="0" w:color="auto"/>
            <w:left w:val="none" w:sz="0" w:space="0" w:color="auto"/>
            <w:bottom w:val="none" w:sz="0" w:space="0" w:color="auto"/>
            <w:right w:val="none" w:sz="0" w:space="0" w:color="auto"/>
          </w:divBdr>
          <w:divsChild>
            <w:div w:id="9838563">
              <w:marLeft w:val="0"/>
              <w:marRight w:val="0"/>
              <w:marTop w:val="0"/>
              <w:marBottom w:val="0"/>
              <w:divBdr>
                <w:top w:val="none" w:sz="0" w:space="0" w:color="auto"/>
                <w:left w:val="none" w:sz="0" w:space="0" w:color="auto"/>
                <w:bottom w:val="none" w:sz="0" w:space="0" w:color="auto"/>
                <w:right w:val="none" w:sz="0" w:space="0" w:color="auto"/>
              </w:divBdr>
              <w:divsChild>
                <w:div w:id="246160986">
                  <w:marLeft w:val="0"/>
                  <w:marRight w:val="0"/>
                  <w:marTop w:val="0"/>
                  <w:marBottom w:val="0"/>
                  <w:divBdr>
                    <w:top w:val="none" w:sz="0" w:space="0" w:color="auto"/>
                    <w:left w:val="none" w:sz="0" w:space="0" w:color="auto"/>
                    <w:bottom w:val="none" w:sz="0" w:space="0" w:color="auto"/>
                    <w:right w:val="none" w:sz="0" w:space="0" w:color="auto"/>
                  </w:divBdr>
                  <w:divsChild>
                    <w:div w:id="1068462268">
                      <w:marLeft w:val="0"/>
                      <w:marRight w:val="0"/>
                      <w:marTop w:val="0"/>
                      <w:marBottom w:val="0"/>
                      <w:divBdr>
                        <w:top w:val="none" w:sz="0" w:space="0" w:color="auto"/>
                        <w:left w:val="none" w:sz="0" w:space="0" w:color="auto"/>
                        <w:bottom w:val="none" w:sz="0" w:space="0" w:color="auto"/>
                        <w:right w:val="none" w:sz="0" w:space="0" w:color="auto"/>
                      </w:divBdr>
                      <w:divsChild>
                        <w:div w:id="346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965656">
      <w:bodyDiv w:val="1"/>
      <w:marLeft w:val="0"/>
      <w:marRight w:val="0"/>
      <w:marTop w:val="0"/>
      <w:marBottom w:val="0"/>
      <w:divBdr>
        <w:top w:val="none" w:sz="0" w:space="0" w:color="auto"/>
        <w:left w:val="none" w:sz="0" w:space="0" w:color="auto"/>
        <w:bottom w:val="none" w:sz="0" w:space="0" w:color="auto"/>
        <w:right w:val="none" w:sz="0" w:space="0" w:color="auto"/>
      </w:divBdr>
    </w:div>
    <w:div w:id="552038319">
      <w:bodyDiv w:val="1"/>
      <w:marLeft w:val="0"/>
      <w:marRight w:val="0"/>
      <w:marTop w:val="0"/>
      <w:marBottom w:val="0"/>
      <w:divBdr>
        <w:top w:val="none" w:sz="0" w:space="0" w:color="auto"/>
        <w:left w:val="none" w:sz="0" w:space="0" w:color="auto"/>
        <w:bottom w:val="none" w:sz="0" w:space="0" w:color="auto"/>
        <w:right w:val="none" w:sz="0" w:space="0" w:color="auto"/>
      </w:divBdr>
    </w:div>
    <w:div w:id="632489769">
      <w:bodyDiv w:val="1"/>
      <w:marLeft w:val="0"/>
      <w:marRight w:val="0"/>
      <w:marTop w:val="0"/>
      <w:marBottom w:val="0"/>
      <w:divBdr>
        <w:top w:val="none" w:sz="0" w:space="0" w:color="auto"/>
        <w:left w:val="none" w:sz="0" w:space="0" w:color="auto"/>
        <w:bottom w:val="none" w:sz="0" w:space="0" w:color="auto"/>
        <w:right w:val="none" w:sz="0" w:space="0" w:color="auto"/>
      </w:divBdr>
    </w:div>
    <w:div w:id="705444785">
      <w:bodyDiv w:val="1"/>
      <w:marLeft w:val="0"/>
      <w:marRight w:val="0"/>
      <w:marTop w:val="0"/>
      <w:marBottom w:val="0"/>
      <w:divBdr>
        <w:top w:val="none" w:sz="0" w:space="0" w:color="auto"/>
        <w:left w:val="none" w:sz="0" w:space="0" w:color="auto"/>
        <w:bottom w:val="none" w:sz="0" w:space="0" w:color="auto"/>
        <w:right w:val="none" w:sz="0" w:space="0" w:color="auto"/>
      </w:divBdr>
    </w:div>
    <w:div w:id="736974336">
      <w:bodyDiv w:val="1"/>
      <w:marLeft w:val="0"/>
      <w:marRight w:val="0"/>
      <w:marTop w:val="0"/>
      <w:marBottom w:val="0"/>
      <w:divBdr>
        <w:top w:val="none" w:sz="0" w:space="0" w:color="auto"/>
        <w:left w:val="none" w:sz="0" w:space="0" w:color="auto"/>
        <w:bottom w:val="none" w:sz="0" w:space="0" w:color="auto"/>
        <w:right w:val="none" w:sz="0" w:space="0" w:color="auto"/>
      </w:divBdr>
    </w:div>
    <w:div w:id="764620511">
      <w:bodyDiv w:val="1"/>
      <w:marLeft w:val="0"/>
      <w:marRight w:val="0"/>
      <w:marTop w:val="0"/>
      <w:marBottom w:val="0"/>
      <w:divBdr>
        <w:top w:val="none" w:sz="0" w:space="0" w:color="auto"/>
        <w:left w:val="none" w:sz="0" w:space="0" w:color="auto"/>
        <w:bottom w:val="none" w:sz="0" w:space="0" w:color="auto"/>
        <w:right w:val="none" w:sz="0" w:space="0" w:color="auto"/>
      </w:divBdr>
      <w:divsChild>
        <w:div w:id="142354015">
          <w:marLeft w:val="0"/>
          <w:marRight w:val="0"/>
          <w:marTop w:val="0"/>
          <w:marBottom w:val="0"/>
          <w:divBdr>
            <w:top w:val="none" w:sz="0" w:space="0" w:color="auto"/>
            <w:left w:val="none" w:sz="0" w:space="0" w:color="auto"/>
            <w:bottom w:val="none" w:sz="0" w:space="0" w:color="auto"/>
            <w:right w:val="none" w:sz="0" w:space="0" w:color="auto"/>
          </w:divBdr>
          <w:divsChild>
            <w:div w:id="1906061586">
              <w:marLeft w:val="0"/>
              <w:marRight w:val="0"/>
              <w:marTop w:val="0"/>
              <w:marBottom w:val="0"/>
              <w:divBdr>
                <w:top w:val="none" w:sz="0" w:space="0" w:color="auto"/>
                <w:left w:val="none" w:sz="0" w:space="0" w:color="auto"/>
                <w:bottom w:val="none" w:sz="0" w:space="0" w:color="auto"/>
                <w:right w:val="none" w:sz="0" w:space="0" w:color="auto"/>
              </w:divBdr>
              <w:divsChild>
                <w:div w:id="1219979611">
                  <w:marLeft w:val="0"/>
                  <w:marRight w:val="0"/>
                  <w:marTop w:val="0"/>
                  <w:marBottom w:val="0"/>
                  <w:divBdr>
                    <w:top w:val="none" w:sz="0" w:space="0" w:color="auto"/>
                    <w:left w:val="none" w:sz="0" w:space="0" w:color="auto"/>
                    <w:bottom w:val="none" w:sz="0" w:space="0" w:color="auto"/>
                    <w:right w:val="none" w:sz="0" w:space="0" w:color="auto"/>
                  </w:divBdr>
                  <w:divsChild>
                    <w:div w:id="1500382937">
                      <w:marLeft w:val="0"/>
                      <w:marRight w:val="0"/>
                      <w:marTop w:val="0"/>
                      <w:marBottom w:val="0"/>
                      <w:divBdr>
                        <w:top w:val="none" w:sz="0" w:space="0" w:color="auto"/>
                        <w:left w:val="none" w:sz="0" w:space="0" w:color="auto"/>
                        <w:bottom w:val="none" w:sz="0" w:space="0" w:color="auto"/>
                        <w:right w:val="none" w:sz="0" w:space="0" w:color="auto"/>
                      </w:divBdr>
                      <w:divsChild>
                        <w:div w:id="59409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629185">
      <w:bodyDiv w:val="1"/>
      <w:marLeft w:val="0"/>
      <w:marRight w:val="0"/>
      <w:marTop w:val="0"/>
      <w:marBottom w:val="0"/>
      <w:divBdr>
        <w:top w:val="none" w:sz="0" w:space="0" w:color="auto"/>
        <w:left w:val="none" w:sz="0" w:space="0" w:color="auto"/>
        <w:bottom w:val="none" w:sz="0" w:space="0" w:color="auto"/>
        <w:right w:val="none" w:sz="0" w:space="0" w:color="auto"/>
      </w:divBdr>
      <w:divsChild>
        <w:div w:id="956303038">
          <w:marLeft w:val="0"/>
          <w:marRight w:val="0"/>
          <w:marTop w:val="0"/>
          <w:marBottom w:val="0"/>
          <w:divBdr>
            <w:top w:val="none" w:sz="0" w:space="0" w:color="auto"/>
            <w:left w:val="none" w:sz="0" w:space="0" w:color="auto"/>
            <w:bottom w:val="none" w:sz="0" w:space="0" w:color="auto"/>
            <w:right w:val="none" w:sz="0" w:space="0" w:color="auto"/>
          </w:divBdr>
          <w:divsChild>
            <w:div w:id="821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1584">
      <w:bodyDiv w:val="1"/>
      <w:marLeft w:val="0"/>
      <w:marRight w:val="0"/>
      <w:marTop w:val="0"/>
      <w:marBottom w:val="0"/>
      <w:divBdr>
        <w:top w:val="none" w:sz="0" w:space="0" w:color="auto"/>
        <w:left w:val="none" w:sz="0" w:space="0" w:color="auto"/>
        <w:bottom w:val="none" w:sz="0" w:space="0" w:color="auto"/>
        <w:right w:val="none" w:sz="0" w:space="0" w:color="auto"/>
      </w:divBdr>
    </w:div>
    <w:div w:id="879585538">
      <w:bodyDiv w:val="1"/>
      <w:marLeft w:val="0"/>
      <w:marRight w:val="0"/>
      <w:marTop w:val="0"/>
      <w:marBottom w:val="0"/>
      <w:divBdr>
        <w:top w:val="none" w:sz="0" w:space="0" w:color="auto"/>
        <w:left w:val="none" w:sz="0" w:space="0" w:color="auto"/>
        <w:bottom w:val="none" w:sz="0" w:space="0" w:color="auto"/>
        <w:right w:val="none" w:sz="0" w:space="0" w:color="auto"/>
      </w:divBdr>
    </w:div>
    <w:div w:id="1020008464">
      <w:bodyDiv w:val="1"/>
      <w:marLeft w:val="0"/>
      <w:marRight w:val="0"/>
      <w:marTop w:val="0"/>
      <w:marBottom w:val="0"/>
      <w:divBdr>
        <w:top w:val="none" w:sz="0" w:space="0" w:color="auto"/>
        <w:left w:val="none" w:sz="0" w:space="0" w:color="auto"/>
        <w:bottom w:val="none" w:sz="0" w:space="0" w:color="auto"/>
        <w:right w:val="none" w:sz="0" w:space="0" w:color="auto"/>
      </w:divBdr>
    </w:div>
    <w:div w:id="103993828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sChild>
        <w:div w:id="1750810383">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1170289994">
      <w:bodyDiv w:val="1"/>
      <w:marLeft w:val="0"/>
      <w:marRight w:val="0"/>
      <w:marTop w:val="0"/>
      <w:marBottom w:val="0"/>
      <w:divBdr>
        <w:top w:val="none" w:sz="0" w:space="0" w:color="auto"/>
        <w:left w:val="none" w:sz="0" w:space="0" w:color="auto"/>
        <w:bottom w:val="none" w:sz="0" w:space="0" w:color="auto"/>
        <w:right w:val="none" w:sz="0" w:space="0" w:color="auto"/>
      </w:divBdr>
    </w:div>
    <w:div w:id="1218005626">
      <w:bodyDiv w:val="1"/>
      <w:marLeft w:val="0"/>
      <w:marRight w:val="0"/>
      <w:marTop w:val="0"/>
      <w:marBottom w:val="0"/>
      <w:divBdr>
        <w:top w:val="none" w:sz="0" w:space="0" w:color="auto"/>
        <w:left w:val="none" w:sz="0" w:space="0" w:color="auto"/>
        <w:bottom w:val="none" w:sz="0" w:space="0" w:color="auto"/>
        <w:right w:val="none" w:sz="0" w:space="0" w:color="auto"/>
      </w:divBdr>
      <w:divsChild>
        <w:div w:id="1342776781">
          <w:marLeft w:val="0"/>
          <w:marRight w:val="0"/>
          <w:marTop w:val="0"/>
          <w:marBottom w:val="0"/>
          <w:divBdr>
            <w:top w:val="none" w:sz="0" w:space="0" w:color="auto"/>
            <w:left w:val="none" w:sz="0" w:space="0" w:color="auto"/>
            <w:bottom w:val="none" w:sz="0" w:space="0" w:color="auto"/>
            <w:right w:val="none" w:sz="0" w:space="0" w:color="auto"/>
          </w:divBdr>
          <w:divsChild>
            <w:div w:id="609817313">
              <w:marLeft w:val="0"/>
              <w:marRight w:val="0"/>
              <w:marTop w:val="0"/>
              <w:marBottom w:val="0"/>
              <w:divBdr>
                <w:top w:val="none" w:sz="0" w:space="0" w:color="auto"/>
                <w:left w:val="none" w:sz="0" w:space="0" w:color="auto"/>
                <w:bottom w:val="none" w:sz="0" w:space="0" w:color="auto"/>
                <w:right w:val="none" w:sz="0" w:space="0" w:color="auto"/>
              </w:divBdr>
              <w:divsChild>
                <w:div w:id="100297780">
                  <w:marLeft w:val="0"/>
                  <w:marRight w:val="0"/>
                  <w:marTop w:val="0"/>
                  <w:marBottom w:val="0"/>
                  <w:divBdr>
                    <w:top w:val="none" w:sz="0" w:space="0" w:color="auto"/>
                    <w:left w:val="none" w:sz="0" w:space="0" w:color="auto"/>
                    <w:bottom w:val="none" w:sz="0" w:space="0" w:color="auto"/>
                    <w:right w:val="none" w:sz="0" w:space="0" w:color="auto"/>
                  </w:divBdr>
                  <w:divsChild>
                    <w:div w:id="732242276">
                      <w:marLeft w:val="0"/>
                      <w:marRight w:val="0"/>
                      <w:marTop w:val="0"/>
                      <w:marBottom w:val="0"/>
                      <w:divBdr>
                        <w:top w:val="none" w:sz="0" w:space="0" w:color="auto"/>
                        <w:left w:val="none" w:sz="0" w:space="0" w:color="auto"/>
                        <w:bottom w:val="none" w:sz="0" w:space="0" w:color="auto"/>
                        <w:right w:val="none" w:sz="0" w:space="0" w:color="auto"/>
                      </w:divBdr>
                      <w:divsChild>
                        <w:div w:id="478034542">
                          <w:marLeft w:val="0"/>
                          <w:marRight w:val="0"/>
                          <w:marTop w:val="0"/>
                          <w:marBottom w:val="0"/>
                          <w:divBdr>
                            <w:top w:val="none" w:sz="0" w:space="0" w:color="auto"/>
                            <w:left w:val="none" w:sz="0" w:space="0" w:color="auto"/>
                            <w:bottom w:val="none" w:sz="0" w:space="0" w:color="auto"/>
                            <w:right w:val="none" w:sz="0" w:space="0" w:color="auto"/>
                          </w:divBdr>
                          <w:divsChild>
                            <w:div w:id="26601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233058">
      <w:bodyDiv w:val="1"/>
      <w:marLeft w:val="0"/>
      <w:marRight w:val="0"/>
      <w:marTop w:val="0"/>
      <w:marBottom w:val="0"/>
      <w:divBdr>
        <w:top w:val="none" w:sz="0" w:space="0" w:color="auto"/>
        <w:left w:val="none" w:sz="0" w:space="0" w:color="auto"/>
        <w:bottom w:val="none" w:sz="0" w:space="0" w:color="auto"/>
        <w:right w:val="none" w:sz="0" w:space="0" w:color="auto"/>
      </w:divBdr>
      <w:divsChild>
        <w:div w:id="1858890004">
          <w:marLeft w:val="0"/>
          <w:marRight w:val="0"/>
          <w:marTop w:val="0"/>
          <w:marBottom w:val="0"/>
          <w:divBdr>
            <w:top w:val="none" w:sz="0" w:space="0" w:color="auto"/>
            <w:left w:val="none" w:sz="0" w:space="0" w:color="auto"/>
            <w:bottom w:val="none" w:sz="0" w:space="0" w:color="auto"/>
            <w:right w:val="none" w:sz="0" w:space="0" w:color="auto"/>
          </w:divBdr>
          <w:divsChild>
            <w:div w:id="856963592">
              <w:marLeft w:val="0"/>
              <w:marRight w:val="0"/>
              <w:marTop w:val="0"/>
              <w:marBottom w:val="0"/>
              <w:divBdr>
                <w:top w:val="none" w:sz="0" w:space="0" w:color="auto"/>
                <w:left w:val="none" w:sz="0" w:space="0" w:color="auto"/>
                <w:bottom w:val="none" w:sz="0" w:space="0" w:color="auto"/>
                <w:right w:val="none" w:sz="0" w:space="0" w:color="auto"/>
              </w:divBdr>
              <w:divsChild>
                <w:div w:id="1430469724">
                  <w:marLeft w:val="0"/>
                  <w:marRight w:val="0"/>
                  <w:marTop w:val="0"/>
                  <w:marBottom w:val="0"/>
                  <w:divBdr>
                    <w:top w:val="none" w:sz="0" w:space="0" w:color="auto"/>
                    <w:left w:val="none" w:sz="0" w:space="0" w:color="auto"/>
                    <w:bottom w:val="none" w:sz="0" w:space="0" w:color="auto"/>
                    <w:right w:val="none" w:sz="0" w:space="0" w:color="auto"/>
                  </w:divBdr>
                  <w:divsChild>
                    <w:div w:id="362899836">
                      <w:marLeft w:val="0"/>
                      <w:marRight w:val="0"/>
                      <w:marTop w:val="0"/>
                      <w:marBottom w:val="0"/>
                      <w:divBdr>
                        <w:top w:val="none" w:sz="0" w:space="0" w:color="auto"/>
                        <w:left w:val="none" w:sz="0" w:space="0" w:color="auto"/>
                        <w:bottom w:val="none" w:sz="0" w:space="0" w:color="auto"/>
                        <w:right w:val="none" w:sz="0" w:space="0" w:color="auto"/>
                      </w:divBdr>
                      <w:divsChild>
                        <w:div w:id="37704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8869">
      <w:bodyDiv w:val="1"/>
      <w:marLeft w:val="0"/>
      <w:marRight w:val="0"/>
      <w:marTop w:val="0"/>
      <w:marBottom w:val="0"/>
      <w:divBdr>
        <w:top w:val="none" w:sz="0" w:space="0" w:color="auto"/>
        <w:left w:val="none" w:sz="0" w:space="0" w:color="auto"/>
        <w:bottom w:val="none" w:sz="0" w:space="0" w:color="auto"/>
        <w:right w:val="none" w:sz="0" w:space="0" w:color="auto"/>
      </w:divBdr>
      <w:divsChild>
        <w:div w:id="506024597">
          <w:marLeft w:val="0"/>
          <w:marRight w:val="0"/>
          <w:marTop w:val="0"/>
          <w:marBottom w:val="0"/>
          <w:divBdr>
            <w:top w:val="none" w:sz="0" w:space="0" w:color="auto"/>
            <w:left w:val="none" w:sz="0" w:space="0" w:color="auto"/>
            <w:bottom w:val="none" w:sz="0" w:space="0" w:color="auto"/>
            <w:right w:val="none" w:sz="0" w:space="0" w:color="auto"/>
          </w:divBdr>
          <w:divsChild>
            <w:div w:id="160700759">
              <w:marLeft w:val="0"/>
              <w:marRight w:val="0"/>
              <w:marTop w:val="0"/>
              <w:marBottom w:val="0"/>
              <w:divBdr>
                <w:top w:val="none" w:sz="0" w:space="0" w:color="auto"/>
                <w:left w:val="none" w:sz="0" w:space="0" w:color="auto"/>
                <w:bottom w:val="none" w:sz="0" w:space="0" w:color="auto"/>
                <w:right w:val="none" w:sz="0" w:space="0" w:color="auto"/>
              </w:divBdr>
              <w:divsChild>
                <w:div w:id="302152593">
                  <w:marLeft w:val="0"/>
                  <w:marRight w:val="0"/>
                  <w:marTop w:val="0"/>
                  <w:marBottom w:val="0"/>
                  <w:divBdr>
                    <w:top w:val="none" w:sz="0" w:space="0" w:color="auto"/>
                    <w:left w:val="none" w:sz="0" w:space="0" w:color="auto"/>
                    <w:bottom w:val="none" w:sz="0" w:space="0" w:color="auto"/>
                    <w:right w:val="none" w:sz="0" w:space="0" w:color="auto"/>
                  </w:divBdr>
                  <w:divsChild>
                    <w:div w:id="181013385">
                      <w:marLeft w:val="0"/>
                      <w:marRight w:val="0"/>
                      <w:marTop w:val="0"/>
                      <w:marBottom w:val="0"/>
                      <w:divBdr>
                        <w:top w:val="none" w:sz="0" w:space="0" w:color="auto"/>
                        <w:left w:val="none" w:sz="0" w:space="0" w:color="auto"/>
                        <w:bottom w:val="none" w:sz="0" w:space="0" w:color="auto"/>
                        <w:right w:val="none" w:sz="0" w:space="0" w:color="auto"/>
                      </w:divBdr>
                      <w:divsChild>
                        <w:div w:id="6130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100666">
      <w:bodyDiv w:val="1"/>
      <w:marLeft w:val="0"/>
      <w:marRight w:val="0"/>
      <w:marTop w:val="0"/>
      <w:marBottom w:val="0"/>
      <w:divBdr>
        <w:top w:val="none" w:sz="0" w:space="0" w:color="auto"/>
        <w:left w:val="none" w:sz="0" w:space="0" w:color="auto"/>
        <w:bottom w:val="none" w:sz="0" w:space="0" w:color="auto"/>
        <w:right w:val="none" w:sz="0" w:space="0" w:color="auto"/>
      </w:divBdr>
    </w:div>
    <w:div w:id="1302418533">
      <w:bodyDiv w:val="1"/>
      <w:marLeft w:val="0"/>
      <w:marRight w:val="0"/>
      <w:marTop w:val="0"/>
      <w:marBottom w:val="0"/>
      <w:divBdr>
        <w:top w:val="none" w:sz="0" w:space="0" w:color="auto"/>
        <w:left w:val="none" w:sz="0" w:space="0" w:color="auto"/>
        <w:bottom w:val="none" w:sz="0" w:space="0" w:color="auto"/>
        <w:right w:val="none" w:sz="0" w:space="0" w:color="auto"/>
      </w:divBdr>
      <w:divsChild>
        <w:div w:id="1198011975">
          <w:marLeft w:val="0"/>
          <w:marRight w:val="0"/>
          <w:marTop w:val="0"/>
          <w:marBottom w:val="0"/>
          <w:divBdr>
            <w:top w:val="none" w:sz="0" w:space="0" w:color="auto"/>
            <w:left w:val="none" w:sz="0" w:space="0" w:color="auto"/>
            <w:bottom w:val="none" w:sz="0" w:space="0" w:color="auto"/>
            <w:right w:val="none" w:sz="0" w:space="0" w:color="auto"/>
          </w:divBdr>
          <w:divsChild>
            <w:div w:id="795753728">
              <w:marLeft w:val="0"/>
              <w:marRight w:val="0"/>
              <w:marTop w:val="0"/>
              <w:marBottom w:val="0"/>
              <w:divBdr>
                <w:top w:val="none" w:sz="0" w:space="0" w:color="auto"/>
                <w:left w:val="none" w:sz="0" w:space="0" w:color="auto"/>
                <w:bottom w:val="none" w:sz="0" w:space="0" w:color="auto"/>
                <w:right w:val="none" w:sz="0" w:space="0" w:color="auto"/>
              </w:divBdr>
              <w:divsChild>
                <w:div w:id="1931893154">
                  <w:marLeft w:val="0"/>
                  <w:marRight w:val="0"/>
                  <w:marTop w:val="0"/>
                  <w:marBottom w:val="0"/>
                  <w:divBdr>
                    <w:top w:val="none" w:sz="0" w:space="0" w:color="auto"/>
                    <w:left w:val="none" w:sz="0" w:space="0" w:color="auto"/>
                    <w:bottom w:val="none" w:sz="0" w:space="0" w:color="auto"/>
                    <w:right w:val="none" w:sz="0" w:space="0" w:color="auto"/>
                  </w:divBdr>
                  <w:divsChild>
                    <w:div w:id="1676882450">
                      <w:marLeft w:val="0"/>
                      <w:marRight w:val="0"/>
                      <w:marTop w:val="0"/>
                      <w:marBottom w:val="0"/>
                      <w:divBdr>
                        <w:top w:val="none" w:sz="0" w:space="0" w:color="auto"/>
                        <w:left w:val="none" w:sz="0" w:space="0" w:color="auto"/>
                        <w:bottom w:val="none" w:sz="0" w:space="0" w:color="auto"/>
                        <w:right w:val="none" w:sz="0" w:space="0" w:color="auto"/>
                      </w:divBdr>
                      <w:divsChild>
                        <w:div w:id="10385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09987">
      <w:bodyDiv w:val="1"/>
      <w:marLeft w:val="0"/>
      <w:marRight w:val="0"/>
      <w:marTop w:val="0"/>
      <w:marBottom w:val="0"/>
      <w:divBdr>
        <w:top w:val="none" w:sz="0" w:space="0" w:color="auto"/>
        <w:left w:val="none" w:sz="0" w:space="0" w:color="auto"/>
        <w:bottom w:val="none" w:sz="0" w:space="0" w:color="auto"/>
        <w:right w:val="none" w:sz="0" w:space="0" w:color="auto"/>
      </w:divBdr>
    </w:div>
    <w:div w:id="1420371047">
      <w:bodyDiv w:val="1"/>
      <w:marLeft w:val="0"/>
      <w:marRight w:val="0"/>
      <w:marTop w:val="0"/>
      <w:marBottom w:val="0"/>
      <w:divBdr>
        <w:top w:val="none" w:sz="0" w:space="0" w:color="auto"/>
        <w:left w:val="none" w:sz="0" w:space="0" w:color="auto"/>
        <w:bottom w:val="none" w:sz="0" w:space="0" w:color="auto"/>
        <w:right w:val="none" w:sz="0" w:space="0" w:color="auto"/>
      </w:divBdr>
    </w:div>
    <w:div w:id="1485777752">
      <w:bodyDiv w:val="1"/>
      <w:marLeft w:val="0"/>
      <w:marRight w:val="0"/>
      <w:marTop w:val="0"/>
      <w:marBottom w:val="0"/>
      <w:divBdr>
        <w:top w:val="none" w:sz="0" w:space="0" w:color="auto"/>
        <w:left w:val="none" w:sz="0" w:space="0" w:color="auto"/>
        <w:bottom w:val="none" w:sz="0" w:space="0" w:color="auto"/>
        <w:right w:val="none" w:sz="0" w:space="0" w:color="auto"/>
      </w:divBdr>
      <w:divsChild>
        <w:div w:id="253898140">
          <w:marLeft w:val="0"/>
          <w:marRight w:val="0"/>
          <w:marTop w:val="0"/>
          <w:marBottom w:val="0"/>
          <w:divBdr>
            <w:top w:val="none" w:sz="0" w:space="0" w:color="auto"/>
            <w:left w:val="none" w:sz="0" w:space="0" w:color="auto"/>
            <w:bottom w:val="none" w:sz="0" w:space="0" w:color="auto"/>
            <w:right w:val="none" w:sz="0" w:space="0" w:color="auto"/>
          </w:divBdr>
          <w:divsChild>
            <w:div w:id="234050633">
              <w:marLeft w:val="0"/>
              <w:marRight w:val="0"/>
              <w:marTop w:val="0"/>
              <w:marBottom w:val="0"/>
              <w:divBdr>
                <w:top w:val="none" w:sz="0" w:space="0" w:color="auto"/>
                <w:left w:val="none" w:sz="0" w:space="0" w:color="auto"/>
                <w:bottom w:val="none" w:sz="0" w:space="0" w:color="auto"/>
                <w:right w:val="none" w:sz="0" w:space="0" w:color="auto"/>
              </w:divBdr>
              <w:divsChild>
                <w:div w:id="1354304743">
                  <w:marLeft w:val="0"/>
                  <w:marRight w:val="0"/>
                  <w:marTop w:val="0"/>
                  <w:marBottom w:val="0"/>
                  <w:divBdr>
                    <w:top w:val="none" w:sz="0" w:space="0" w:color="auto"/>
                    <w:left w:val="none" w:sz="0" w:space="0" w:color="auto"/>
                    <w:bottom w:val="none" w:sz="0" w:space="0" w:color="auto"/>
                    <w:right w:val="none" w:sz="0" w:space="0" w:color="auto"/>
                  </w:divBdr>
                  <w:divsChild>
                    <w:div w:id="2073191146">
                      <w:marLeft w:val="0"/>
                      <w:marRight w:val="0"/>
                      <w:marTop w:val="0"/>
                      <w:marBottom w:val="0"/>
                      <w:divBdr>
                        <w:top w:val="none" w:sz="0" w:space="0" w:color="auto"/>
                        <w:left w:val="none" w:sz="0" w:space="0" w:color="auto"/>
                        <w:bottom w:val="none" w:sz="0" w:space="0" w:color="auto"/>
                        <w:right w:val="none" w:sz="0" w:space="0" w:color="auto"/>
                      </w:divBdr>
                      <w:divsChild>
                        <w:div w:id="59220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272310">
      <w:bodyDiv w:val="1"/>
      <w:marLeft w:val="0"/>
      <w:marRight w:val="0"/>
      <w:marTop w:val="0"/>
      <w:marBottom w:val="0"/>
      <w:divBdr>
        <w:top w:val="none" w:sz="0" w:space="0" w:color="auto"/>
        <w:left w:val="none" w:sz="0" w:space="0" w:color="auto"/>
        <w:bottom w:val="none" w:sz="0" w:space="0" w:color="auto"/>
        <w:right w:val="none" w:sz="0" w:space="0" w:color="auto"/>
      </w:divBdr>
    </w:div>
    <w:div w:id="1601330274">
      <w:bodyDiv w:val="1"/>
      <w:marLeft w:val="0"/>
      <w:marRight w:val="0"/>
      <w:marTop w:val="0"/>
      <w:marBottom w:val="0"/>
      <w:divBdr>
        <w:top w:val="none" w:sz="0" w:space="0" w:color="auto"/>
        <w:left w:val="none" w:sz="0" w:space="0" w:color="auto"/>
        <w:bottom w:val="none" w:sz="0" w:space="0" w:color="auto"/>
        <w:right w:val="none" w:sz="0" w:space="0" w:color="auto"/>
      </w:divBdr>
      <w:divsChild>
        <w:div w:id="223413384">
          <w:marLeft w:val="0"/>
          <w:marRight w:val="0"/>
          <w:marTop w:val="0"/>
          <w:marBottom w:val="0"/>
          <w:divBdr>
            <w:top w:val="none" w:sz="0" w:space="0" w:color="auto"/>
            <w:left w:val="none" w:sz="0" w:space="0" w:color="auto"/>
            <w:bottom w:val="none" w:sz="0" w:space="0" w:color="auto"/>
            <w:right w:val="none" w:sz="0" w:space="0" w:color="auto"/>
          </w:divBdr>
          <w:divsChild>
            <w:div w:id="1819607711">
              <w:marLeft w:val="0"/>
              <w:marRight w:val="0"/>
              <w:marTop w:val="0"/>
              <w:marBottom w:val="0"/>
              <w:divBdr>
                <w:top w:val="none" w:sz="0" w:space="0" w:color="auto"/>
                <w:left w:val="none" w:sz="0" w:space="0" w:color="auto"/>
                <w:bottom w:val="none" w:sz="0" w:space="0" w:color="auto"/>
                <w:right w:val="none" w:sz="0" w:space="0" w:color="auto"/>
              </w:divBdr>
              <w:divsChild>
                <w:div w:id="28990720">
                  <w:marLeft w:val="0"/>
                  <w:marRight w:val="0"/>
                  <w:marTop w:val="0"/>
                  <w:marBottom w:val="0"/>
                  <w:divBdr>
                    <w:top w:val="none" w:sz="0" w:space="0" w:color="auto"/>
                    <w:left w:val="none" w:sz="0" w:space="0" w:color="auto"/>
                    <w:bottom w:val="none" w:sz="0" w:space="0" w:color="auto"/>
                    <w:right w:val="none" w:sz="0" w:space="0" w:color="auto"/>
                  </w:divBdr>
                  <w:divsChild>
                    <w:div w:id="300112579">
                      <w:marLeft w:val="0"/>
                      <w:marRight w:val="0"/>
                      <w:marTop w:val="0"/>
                      <w:marBottom w:val="0"/>
                      <w:divBdr>
                        <w:top w:val="none" w:sz="0" w:space="0" w:color="auto"/>
                        <w:left w:val="none" w:sz="0" w:space="0" w:color="auto"/>
                        <w:bottom w:val="none" w:sz="0" w:space="0" w:color="auto"/>
                        <w:right w:val="none" w:sz="0" w:space="0" w:color="auto"/>
                      </w:divBdr>
                      <w:divsChild>
                        <w:div w:id="6733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846721">
      <w:bodyDiv w:val="1"/>
      <w:marLeft w:val="0"/>
      <w:marRight w:val="0"/>
      <w:marTop w:val="0"/>
      <w:marBottom w:val="0"/>
      <w:divBdr>
        <w:top w:val="none" w:sz="0" w:space="0" w:color="auto"/>
        <w:left w:val="none" w:sz="0" w:space="0" w:color="auto"/>
        <w:bottom w:val="none" w:sz="0" w:space="0" w:color="auto"/>
        <w:right w:val="none" w:sz="0" w:space="0" w:color="auto"/>
      </w:divBdr>
    </w:div>
    <w:div w:id="1678993267">
      <w:bodyDiv w:val="1"/>
      <w:marLeft w:val="0"/>
      <w:marRight w:val="0"/>
      <w:marTop w:val="0"/>
      <w:marBottom w:val="0"/>
      <w:divBdr>
        <w:top w:val="none" w:sz="0" w:space="0" w:color="auto"/>
        <w:left w:val="none" w:sz="0" w:space="0" w:color="auto"/>
        <w:bottom w:val="none" w:sz="0" w:space="0" w:color="auto"/>
        <w:right w:val="none" w:sz="0" w:space="0" w:color="auto"/>
      </w:divBdr>
      <w:divsChild>
        <w:div w:id="933320336">
          <w:marLeft w:val="0"/>
          <w:marRight w:val="0"/>
          <w:marTop w:val="0"/>
          <w:marBottom w:val="0"/>
          <w:divBdr>
            <w:top w:val="none" w:sz="0" w:space="0" w:color="auto"/>
            <w:left w:val="none" w:sz="0" w:space="0" w:color="auto"/>
            <w:bottom w:val="none" w:sz="0" w:space="0" w:color="auto"/>
            <w:right w:val="none" w:sz="0" w:space="0" w:color="auto"/>
          </w:divBdr>
          <w:divsChild>
            <w:div w:id="1045569389">
              <w:marLeft w:val="0"/>
              <w:marRight w:val="0"/>
              <w:marTop w:val="0"/>
              <w:marBottom w:val="0"/>
              <w:divBdr>
                <w:top w:val="none" w:sz="0" w:space="0" w:color="auto"/>
                <w:left w:val="none" w:sz="0" w:space="0" w:color="auto"/>
                <w:bottom w:val="none" w:sz="0" w:space="0" w:color="auto"/>
                <w:right w:val="none" w:sz="0" w:space="0" w:color="auto"/>
              </w:divBdr>
              <w:divsChild>
                <w:div w:id="258610746">
                  <w:marLeft w:val="0"/>
                  <w:marRight w:val="0"/>
                  <w:marTop w:val="0"/>
                  <w:marBottom w:val="0"/>
                  <w:divBdr>
                    <w:top w:val="none" w:sz="0" w:space="0" w:color="auto"/>
                    <w:left w:val="none" w:sz="0" w:space="0" w:color="auto"/>
                    <w:bottom w:val="none" w:sz="0" w:space="0" w:color="auto"/>
                    <w:right w:val="none" w:sz="0" w:space="0" w:color="auto"/>
                  </w:divBdr>
                  <w:divsChild>
                    <w:div w:id="720402524">
                      <w:marLeft w:val="0"/>
                      <w:marRight w:val="0"/>
                      <w:marTop w:val="0"/>
                      <w:marBottom w:val="0"/>
                      <w:divBdr>
                        <w:top w:val="none" w:sz="0" w:space="0" w:color="auto"/>
                        <w:left w:val="none" w:sz="0" w:space="0" w:color="auto"/>
                        <w:bottom w:val="none" w:sz="0" w:space="0" w:color="auto"/>
                        <w:right w:val="none" w:sz="0" w:space="0" w:color="auto"/>
                      </w:divBdr>
                      <w:divsChild>
                        <w:div w:id="8378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469643">
      <w:bodyDiv w:val="1"/>
      <w:marLeft w:val="0"/>
      <w:marRight w:val="0"/>
      <w:marTop w:val="0"/>
      <w:marBottom w:val="0"/>
      <w:divBdr>
        <w:top w:val="none" w:sz="0" w:space="0" w:color="auto"/>
        <w:left w:val="none" w:sz="0" w:space="0" w:color="auto"/>
        <w:bottom w:val="none" w:sz="0" w:space="0" w:color="auto"/>
        <w:right w:val="none" w:sz="0" w:space="0" w:color="auto"/>
      </w:divBdr>
      <w:divsChild>
        <w:div w:id="1620069027">
          <w:marLeft w:val="0"/>
          <w:marRight w:val="0"/>
          <w:marTop w:val="0"/>
          <w:marBottom w:val="0"/>
          <w:divBdr>
            <w:top w:val="none" w:sz="0" w:space="0" w:color="auto"/>
            <w:left w:val="none" w:sz="0" w:space="0" w:color="auto"/>
            <w:bottom w:val="none" w:sz="0" w:space="0" w:color="auto"/>
            <w:right w:val="none" w:sz="0" w:space="0" w:color="auto"/>
          </w:divBdr>
          <w:divsChild>
            <w:div w:id="1762989207">
              <w:marLeft w:val="0"/>
              <w:marRight w:val="0"/>
              <w:marTop w:val="0"/>
              <w:marBottom w:val="0"/>
              <w:divBdr>
                <w:top w:val="none" w:sz="0" w:space="0" w:color="auto"/>
                <w:left w:val="none" w:sz="0" w:space="0" w:color="auto"/>
                <w:bottom w:val="none" w:sz="0" w:space="0" w:color="auto"/>
                <w:right w:val="none" w:sz="0" w:space="0" w:color="auto"/>
              </w:divBdr>
              <w:divsChild>
                <w:div w:id="1122112246">
                  <w:marLeft w:val="0"/>
                  <w:marRight w:val="0"/>
                  <w:marTop w:val="0"/>
                  <w:marBottom w:val="0"/>
                  <w:divBdr>
                    <w:top w:val="none" w:sz="0" w:space="0" w:color="auto"/>
                    <w:left w:val="none" w:sz="0" w:space="0" w:color="auto"/>
                    <w:bottom w:val="none" w:sz="0" w:space="0" w:color="auto"/>
                    <w:right w:val="none" w:sz="0" w:space="0" w:color="auto"/>
                  </w:divBdr>
                  <w:divsChild>
                    <w:div w:id="222182206">
                      <w:marLeft w:val="0"/>
                      <w:marRight w:val="0"/>
                      <w:marTop w:val="0"/>
                      <w:marBottom w:val="0"/>
                      <w:divBdr>
                        <w:top w:val="none" w:sz="0" w:space="0" w:color="auto"/>
                        <w:left w:val="none" w:sz="0" w:space="0" w:color="auto"/>
                        <w:bottom w:val="none" w:sz="0" w:space="0" w:color="auto"/>
                        <w:right w:val="none" w:sz="0" w:space="0" w:color="auto"/>
                      </w:divBdr>
                      <w:divsChild>
                        <w:div w:id="417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596866">
      <w:bodyDiv w:val="1"/>
      <w:marLeft w:val="0"/>
      <w:marRight w:val="0"/>
      <w:marTop w:val="0"/>
      <w:marBottom w:val="0"/>
      <w:divBdr>
        <w:top w:val="none" w:sz="0" w:space="0" w:color="auto"/>
        <w:left w:val="none" w:sz="0" w:space="0" w:color="auto"/>
        <w:bottom w:val="none" w:sz="0" w:space="0" w:color="auto"/>
        <w:right w:val="none" w:sz="0" w:space="0" w:color="auto"/>
      </w:divBdr>
    </w:div>
    <w:div w:id="1898121561">
      <w:bodyDiv w:val="1"/>
      <w:marLeft w:val="0"/>
      <w:marRight w:val="0"/>
      <w:marTop w:val="0"/>
      <w:marBottom w:val="0"/>
      <w:divBdr>
        <w:top w:val="none" w:sz="0" w:space="0" w:color="auto"/>
        <w:left w:val="none" w:sz="0" w:space="0" w:color="auto"/>
        <w:bottom w:val="none" w:sz="0" w:space="0" w:color="auto"/>
        <w:right w:val="none" w:sz="0" w:space="0" w:color="auto"/>
      </w:divBdr>
      <w:divsChild>
        <w:div w:id="1908412407">
          <w:marLeft w:val="0"/>
          <w:marRight w:val="0"/>
          <w:marTop w:val="0"/>
          <w:marBottom w:val="0"/>
          <w:divBdr>
            <w:top w:val="none" w:sz="0" w:space="0" w:color="auto"/>
            <w:left w:val="none" w:sz="0" w:space="0" w:color="auto"/>
            <w:bottom w:val="none" w:sz="0" w:space="0" w:color="auto"/>
            <w:right w:val="none" w:sz="0" w:space="0" w:color="auto"/>
          </w:divBdr>
          <w:divsChild>
            <w:div w:id="1958289310">
              <w:marLeft w:val="0"/>
              <w:marRight w:val="0"/>
              <w:marTop w:val="0"/>
              <w:marBottom w:val="0"/>
              <w:divBdr>
                <w:top w:val="none" w:sz="0" w:space="0" w:color="auto"/>
                <w:left w:val="none" w:sz="0" w:space="0" w:color="auto"/>
                <w:bottom w:val="none" w:sz="0" w:space="0" w:color="auto"/>
                <w:right w:val="none" w:sz="0" w:space="0" w:color="auto"/>
              </w:divBdr>
              <w:divsChild>
                <w:div w:id="84226421">
                  <w:marLeft w:val="0"/>
                  <w:marRight w:val="0"/>
                  <w:marTop w:val="0"/>
                  <w:marBottom w:val="0"/>
                  <w:divBdr>
                    <w:top w:val="none" w:sz="0" w:space="0" w:color="auto"/>
                    <w:left w:val="none" w:sz="0" w:space="0" w:color="auto"/>
                    <w:bottom w:val="none" w:sz="0" w:space="0" w:color="auto"/>
                    <w:right w:val="none" w:sz="0" w:space="0" w:color="auto"/>
                  </w:divBdr>
                  <w:divsChild>
                    <w:div w:id="1702627495">
                      <w:marLeft w:val="0"/>
                      <w:marRight w:val="0"/>
                      <w:marTop w:val="0"/>
                      <w:marBottom w:val="0"/>
                      <w:divBdr>
                        <w:top w:val="none" w:sz="0" w:space="0" w:color="auto"/>
                        <w:left w:val="none" w:sz="0" w:space="0" w:color="auto"/>
                        <w:bottom w:val="none" w:sz="0" w:space="0" w:color="auto"/>
                        <w:right w:val="none" w:sz="0" w:space="0" w:color="auto"/>
                      </w:divBdr>
                      <w:divsChild>
                        <w:div w:id="2062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925120">
      <w:bodyDiv w:val="1"/>
      <w:marLeft w:val="0"/>
      <w:marRight w:val="0"/>
      <w:marTop w:val="0"/>
      <w:marBottom w:val="0"/>
      <w:divBdr>
        <w:top w:val="none" w:sz="0" w:space="0" w:color="auto"/>
        <w:left w:val="none" w:sz="0" w:space="0" w:color="auto"/>
        <w:bottom w:val="none" w:sz="0" w:space="0" w:color="auto"/>
        <w:right w:val="none" w:sz="0" w:space="0" w:color="auto"/>
      </w:divBdr>
    </w:div>
    <w:div w:id="1980921129">
      <w:bodyDiv w:val="1"/>
      <w:marLeft w:val="0"/>
      <w:marRight w:val="0"/>
      <w:marTop w:val="0"/>
      <w:marBottom w:val="0"/>
      <w:divBdr>
        <w:top w:val="none" w:sz="0" w:space="0" w:color="auto"/>
        <w:left w:val="none" w:sz="0" w:space="0" w:color="auto"/>
        <w:bottom w:val="none" w:sz="0" w:space="0" w:color="auto"/>
        <w:right w:val="none" w:sz="0" w:space="0" w:color="auto"/>
      </w:divBdr>
      <w:divsChild>
        <w:div w:id="196435594">
          <w:marLeft w:val="0"/>
          <w:marRight w:val="0"/>
          <w:marTop w:val="0"/>
          <w:marBottom w:val="0"/>
          <w:divBdr>
            <w:top w:val="none" w:sz="0" w:space="0" w:color="auto"/>
            <w:left w:val="none" w:sz="0" w:space="0" w:color="auto"/>
            <w:bottom w:val="none" w:sz="0" w:space="0" w:color="auto"/>
            <w:right w:val="none" w:sz="0" w:space="0" w:color="auto"/>
          </w:divBdr>
          <w:divsChild>
            <w:div w:id="904292553">
              <w:marLeft w:val="0"/>
              <w:marRight w:val="0"/>
              <w:marTop w:val="0"/>
              <w:marBottom w:val="0"/>
              <w:divBdr>
                <w:top w:val="none" w:sz="0" w:space="0" w:color="auto"/>
                <w:left w:val="none" w:sz="0" w:space="0" w:color="auto"/>
                <w:bottom w:val="none" w:sz="0" w:space="0" w:color="auto"/>
                <w:right w:val="none" w:sz="0" w:space="0" w:color="auto"/>
              </w:divBdr>
              <w:divsChild>
                <w:div w:id="1955670564">
                  <w:marLeft w:val="0"/>
                  <w:marRight w:val="0"/>
                  <w:marTop w:val="0"/>
                  <w:marBottom w:val="0"/>
                  <w:divBdr>
                    <w:top w:val="none" w:sz="0" w:space="0" w:color="auto"/>
                    <w:left w:val="none" w:sz="0" w:space="0" w:color="auto"/>
                    <w:bottom w:val="none" w:sz="0" w:space="0" w:color="auto"/>
                    <w:right w:val="none" w:sz="0" w:space="0" w:color="auto"/>
                  </w:divBdr>
                  <w:divsChild>
                    <w:div w:id="873157224">
                      <w:marLeft w:val="0"/>
                      <w:marRight w:val="0"/>
                      <w:marTop w:val="0"/>
                      <w:marBottom w:val="0"/>
                      <w:divBdr>
                        <w:top w:val="none" w:sz="0" w:space="0" w:color="auto"/>
                        <w:left w:val="none" w:sz="0" w:space="0" w:color="auto"/>
                        <w:bottom w:val="none" w:sz="0" w:space="0" w:color="auto"/>
                        <w:right w:val="none" w:sz="0" w:space="0" w:color="auto"/>
                      </w:divBdr>
                      <w:divsChild>
                        <w:div w:id="191138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067119">
      <w:bodyDiv w:val="1"/>
      <w:marLeft w:val="0"/>
      <w:marRight w:val="0"/>
      <w:marTop w:val="0"/>
      <w:marBottom w:val="0"/>
      <w:divBdr>
        <w:top w:val="none" w:sz="0" w:space="0" w:color="auto"/>
        <w:left w:val="none" w:sz="0" w:space="0" w:color="auto"/>
        <w:bottom w:val="none" w:sz="0" w:space="0" w:color="auto"/>
        <w:right w:val="none" w:sz="0" w:space="0" w:color="auto"/>
      </w:divBdr>
      <w:divsChild>
        <w:div w:id="797987962">
          <w:marLeft w:val="0"/>
          <w:marRight w:val="0"/>
          <w:marTop w:val="0"/>
          <w:marBottom w:val="0"/>
          <w:divBdr>
            <w:top w:val="none" w:sz="0" w:space="0" w:color="auto"/>
            <w:left w:val="none" w:sz="0" w:space="0" w:color="auto"/>
            <w:bottom w:val="none" w:sz="0" w:space="0" w:color="auto"/>
            <w:right w:val="none" w:sz="0" w:space="0" w:color="auto"/>
          </w:divBdr>
          <w:divsChild>
            <w:div w:id="2002658645">
              <w:marLeft w:val="0"/>
              <w:marRight w:val="0"/>
              <w:marTop w:val="0"/>
              <w:marBottom w:val="0"/>
              <w:divBdr>
                <w:top w:val="none" w:sz="0" w:space="0" w:color="auto"/>
                <w:left w:val="none" w:sz="0" w:space="0" w:color="auto"/>
                <w:bottom w:val="none" w:sz="0" w:space="0" w:color="auto"/>
                <w:right w:val="none" w:sz="0" w:space="0" w:color="auto"/>
              </w:divBdr>
              <w:divsChild>
                <w:div w:id="1016466202">
                  <w:marLeft w:val="0"/>
                  <w:marRight w:val="0"/>
                  <w:marTop w:val="0"/>
                  <w:marBottom w:val="0"/>
                  <w:divBdr>
                    <w:top w:val="none" w:sz="0" w:space="0" w:color="auto"/>
                    <w:left w:val="none" w:sz="0" w:space="0" w:color="auto"/>
                    <w:bottom w:val="none" w:sz="0" w:space="0" w:color="auto"/>
                    <w:right w:val="none" w:sz="0" w:space="0" w:color="auto"/>
                  </w:divBdr>
                  <w:divsChild>
                    <w:div w:id="946473449">
                      <w:marLeft w:val="0"/>
                      <w:marRight w:val="0"/>
                      <w:marTop w:val="0"/>
                      <w:marBottom w:val="0"/>
                      <w:divBdr>
                        <w:top w:val="none" w:sz="0" w:space="0" w:color="auto"/>
                        <w:left w:val="none" w:sz="0" w:space="0" w:color="auto"/>
                        <w:bottom w:val="none" w:sz="0" w:space="0" w:color="auto"/>
                        <w:right w:val="none" w:sz="0" w:space="0" w:color="auto"/>
                      </w:divBdr>
                      <w:divsChild>
                        <w:div w:id="603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114945">
      <w:bodyDiv w:val="1"/>
      <w:marLeft w:val="0"/>
      <w:marRight w:val="0"/>
      <w:marTop w:val="0"/>
      <w:marBottom w:val="0"/>
      <w:divBdr>
        <w:top w:val="none" w:sz="0" w:space="0" w:color="auto"/>
        <w:left w:val="none" w:sz="0" w:space="0" w:color="auto"/>
        <w:bottom w:val="none" w:sz="0" w:space="0" w:color="auto"/>
        <w:right w:val="none" w:sz="0" w:space="0" w:color="auto"/>
      </w:divBdr>
    </w:div>
    <w:div w:id="2041004767">
      <w:bodyDiv w:val="1"/>
      <w:marLeft w:val="0"/>
      <w:marRight w:val="0"/>
      <w:marTop w:val="0"/>
      <w:marBottom w:val="0"/>
      <w:divBdr>
        <w:top w:val="none" w:sz="0" w:space="0" w:color="auto"/>
        <w:left w:val="none" w:sz="0" w:space="0" w:color="auto"/>
        <w:bottom w:val="none" w:sz="0" w:space="0" w:color="auto"/>
        <w:right w:val="none" w:sz="0" w:space="0" w:color="auto"/>
      </w:divBdr>
    </w:div>
    <w:div w:id="2123721463">
      <w:bodyDiv w:val="1"/>
      <w:marLeft w:val="0"/>
      <w:marRight w:val="0"/>
      <w:marTop w:val="0"/>
      <w:marBottom w:val="0"/>
      <w:divBdr>
        <w:top w:val="none" w:sz="0" w:space="0" w:color="auto"/>
        <w:left w:val="none" w:sz="0" w:space="0" w:color="auto"/>
        <w:bottom w:val="none" w:sz="0" w:space="0" w:color="auto"/>
        <w:right w:val="none" w:sz="0" w:space="0" w:color="auto"/>
      </w:divBdr>
      <w:divsChild>
        <w:div w:id="1840927523">
          <w:marLeft w:val="0"/>
          <w:marRight w:val="0"/>
          <w:marTop w:val="0"/>
          <w:marBottom w:val="0"/>
          <w:divBdr>
            <w:top w:val="none" w:sz="0" w:space="0" w:color="auto"/>
            <w:left w:val="none" w:sz="0" w:space="0" w:color="auto"/>
            <w:bottom w:val="none" w:sz="0" w:space="0" w:color="auto"/>
            <w:right w:val="none" w:sz="0" w:space="0" w:color="auto"/>
          </w:divBdr>
          <w:divsChild>
            <w:div w:id="604920277">
              <w:marLeft w:val="0"/>
              <w:marRight w:val="0"/>
              <w:marTop w:val="0"/>
              <w:marBottom w:val="0"/>
              <w:divBdr>
                <w:top w:val="none" w:sz="0" w:space="0" w:color="auto"/>
                <w:left w:val="none" w:sz="0" w:space="0" w:color="auto"/>
                <w:bottom w:val="none" w:sz="0" w:space="0" w:color="auto"/>
                <w:right w:val="none" w:sz="0" w:space="0" w:color="auto"/>
              </w:divBdr>
              <w:divsChild>
                <w:div w:id="1909727065">
                  <w:marLeft w:val="0"/>
                  <w:marRight w:val="0"/>
                  <w:marTop w:val="0"/>
                  <w:marBottom w:val="0"/>
                  <w:divBdr>
                    <w:top w:val="none" w:sz="0" w:space="0" w:color="auto"/>
                    <w:left w:val="none" w:sz="0" w:space="0" w:color="auto"/>
                    <w:bottom w:val="none" w:sz="0" w:space="0" w:color="auto"/>
                    <w:right w:val="none" w:sz="0" w:space="0" w:color="auto"/>
                  </w:divBdr>
                  <w:divsChild>
                    <w:div w:id="534855037">
                      <w:marLeft w:val="0"/>
                      <w:marRight w:val="0"/>
                      <w:marTop w:val="0"/>
                      <w:marBottom w:val="0"/>
                      <w:divBdr>
                        <w:top w:val="none" w:sz="0" w:space="0" w:color="auto"/>
                        <w:left w:val="none" w:sz="0" w:space="0" w:color="auto"/>
                        <w:bottom w:val="none" w:sz="0" w:space="0" w:color="auto"/>
                        <w:right w:val="none" w:sz="0" w:space="0" w:color="auto"/>
                      </w:divBdr>
                      <w:divsChild>
                        <w:div w:id="15503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632961">
      <w:bodyDiv w:val="1"/>
      <w:marLeft w:val="0"/>
      <w:marRight w:val="0"/>
      <w:marTop w:val="0"/>
      <w:marBottom w:val="0"/>
      <w:divBdr>
        <w:top w:val="none" w:sz="0" w:space="0" w:color="auto"/>
        <w:left w:val="none" w:sz="0" w:space="0" w:color="auto"/>
        <w:bottom w:val="none" w:sz="0" w:space="0" w:color="auto"/>
        <w:right w:val="none" w:sz="0" w:space="0" w:color="auto"/>
      </w:divBdr>
      <w:divsChild>
        <w:div w:id="401609449">
          <w:marLeft w:val="0"/>
          <w:marRight w:val="0"/>
          <w:marTop w:val="0"/>
          <w:marBottom w:val="0"/>
          <w:divBdr>
            <w:top w:val="none" w:sz="0" w:space="0" w:color="auto"/>
            <w:left w:val="none" w:sz="0" w:space="0" w:color="auto"/>
            <w:bottom w:val="none" w:sz="0" w:space="0" w:color="auto"/>
            <w:right w:val="none" w:sz="0" w:space="0" w:color="auto"/>
          </w:divBdr>
          <w:divsChild>
            <w:div w:id="1582911077">
              <w:marLeft w:val="0"/>
              <w:marRight w:val="0"/>
              <w:marTop w:val="0"/>
              <w:marBottom w:val="0"/>
              <w:divBdr>
                <w:top w:val="none" w:sz="0" w:space="0" w:color="auto"/>
                <w:left w:val="none" w:sz="0" w:space="0" w:color="auto"/>
                <w:bottom w:val="none" w:sz="0" w:space="0" w:color="auto"/>
                <w:right w:val="none" w:sz="0" w:space="0" w:color="auto"/>
              </w:divBdr>
              <w:divsChild>
                <w:div w:id="1862237435">
                  <w:marLeft w:val="0"/>
                  <w:marRight w:val="0"/>
                  <w:marTop w:val="0"/>
                  <w:marBottom w:val="0"/>
                  <w:divBdr>
                    <w:top w:val="none" w:sz="0" w:space="0" w:color="auto"/>
                    <w:left w:val="none" w:sz="0" w:space="0" w:color="auto"/>
                    <w:bottom w:val="none" w:sz="0" w:space="0" w:color="auto"/>
                    <w:right w:val="none" w:sz="0" w:space="0" w:color="auto"/>
                  </w:divBdr>
                  <w:divsChild>
                    <w:div w:id="384724849">
                      <w:marLeft w:val="0"/>
                      <w:marRight w:val="0"/>
                      <w:marTop w:val="0"/>
                      <w:marBottom w:val="0"/>
                      <w:divBdr>
                        <w:top w:val="none" w:sz="0" w:space="0" w:color="auto"/>
                        <w:left w:val="none" w:sz="0" w:space="0" w:color="auto"/>
                        <w:bottom w:val="none" w:sz="0" w:space="0" w:color="auto"/>
                        <w:right w:val="none" w:sz="0" w:space="0" w:color="auto"/>
                      </w:divBdr>
                      <w:divsChild>
                        <w:div w:id="1904824933">
                          <w:marLeft w:val="0"/>
                          <w:marRight w:val="0"/>
                          <w:marTop w:val="0"/>
                          <w:marBottom w:val="0"/>
                          <w:divBdr>
                            <w:top w:val="none" w:sz="0" w:space="0" w:color="auto"/>
                            <w:left w:val="none" w:sz="0" w:space="0" w:color="auto"/>
                            <w:bottom w:val="none" w:sz="0" w:space="0" w:color="auto"/>
                            <w:right w:val="none" w:sz="0" w:space="0" w:color="auto"/>
                          </w:divBdr>
                          <w:divsChild>
                            <w:div w:id="10319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sa-asfc.gc.ca/publications/dm-md/d17-fra.html" TargetMode="External"/><Relationship Id="rId18" Type="http://schemas.openxmlformats.org/officeDocument/2006/relationships/hyperlink" Target="https://www.canada.ca/fr/agence-revenu/services/formulaires-publications/formulaires/b601.html" TargetMode="External"/><Relationship Id="rId26" Type="http://schemas.openxmlformats.org/officeDocument/2006/relationships/hyperlink" Target="https://lois-laws.justice.gc.ca/fra/lois/C-52.6/page-1.html" TargetMode="External"/><Relationship Id="rId39" Type="http://schemas.openxmlformats.org/officeDocument/2006/relationships/hyperlink" Target="https://laws-lois.justice.gc.ca/fra/lois/C-54.011/page-1.html" TargetMode="External"/><Relationship Id="rId21" Type="http://schemas.openxmlformats.org/officeDocument/2006/relationships/image" Target="media/image6.png"/><Relationship Id="rId34" Type="http://schemas.openxmlformats.org/officeDocument/2006/relationships/hyperlink" Target="https://laws-lois.justice.gc.ca/fra/reglements/DORS-86-1065/page-1.html" TargetMode="External"/><Relationship Id="rId42" Type="http://schemas.openxmlformats.org/officeDocument/2006/relationships/hyperlink" Target="https://cbsa-asfc.gc.ca/publications/dm-md/d2-fra.html" TargetMode="External"/><Relationship Id="rId47" Type="http://schemas.openxmlformats.org/officeDocument/2006/relationships/hyperlink" Target="https://www.cbsa-asfc.gc.ca/publications/dm-md/d6/d6-2-3-fra.html" TargetMode="External"/><Relationship Id="rId50" Type="http://schemas.openxmlformats.org/officeDocument/2006/relationships/hyperlink" Target="https://www.cbsa-asfc.gc.ca/publications/dm-md/d7/d7-4-4-fra.html" TargetMode="External"/><Relationship Id="rId55" Type="http://schemas.openxmlformats.org/officeDocument/2006/relationships/hyperlink" Target="https://www.cbsa-asfc.gc.ca/publications/dm-md/d11/d11-11-1-fra.html" TargetMode="External"/><Relationship Id="rId63" Type="http://schemas.openxmlformats.org/officeDocument/2006/relationships/hyperlink" Target="https://www.cbsa-asfc.gc.ca/publications/dm-md/d23/d23-3-1-fra.html" TargetMode="External"/><Relationship Id="rId68" Type="http://schemas.openxmlformats.org/officeDocument/2006/relationships/hyperlink" Target="https://www.canada.ca/fr/services/impots/taxes-daccise-droits-et-prelevements/exploitez-entreprise-produits-vapotage-apprenez-plus-droits-accise-produits-vapotage/demander-licence-produits-vapotage.html" TargetMode="External"/><Relationship Id="rId76" Type="http://schemas.openxmlformats.org/officeDocument/2006/relationships/hyperlink" Target="https://www.canada.ca/fr/sante-canada/services/tabagisme-et-tabac/vapotage/conformite-application-loi.html"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canada.ca/fr/agence-revenu/services/formulaires-publications/publications/edn81.html" TargetMode="Externa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s://laws-lois.justice.gc.ca/fra/lois/f-29.4/TexteComplet.html" TargetMode="External"/><Relationship Id="rId11" Type="http://schemas.openxmlformats.org/officeDocument/2006/relationships/hyperlink" Target="https://laws-lois.justice.gc.ca/fra/lois/c-52.6/" TargetMode="External"/><Relationship Id="rId24" Type="http://schemas.openxmlformats.org/officeDocument/2006/relationships/hyperlink" Target="https://laws-lois.justice.gc.ca/fra/lois/e-15/" TargetMode="External"/><Relationship Id="rId32" Type="http://schemas.openxmlformats.org/officeDocument/2006/relationships/hyperlink" Target="https://laws-lois.justice.gc.ca/fra/reglements/DORS-2003-203/index.html" TargetMode="External"/><Relationship Id="rId37" Type="http://schemas.openxmlformats.org/officeDocument/2006/relationships/hyperlink" Target="https://laws-lois.justice.gc.ca/fra/reglements/DORS-87-720/page-1.html" TargetMode="External"/><Relationship Id="rId40" Type="http://schemas.openxmlformats.org/officeDocument/2006/relationships/hyperlink" Target="https://www.cbsa-asfc.gc.ca/contact/bis-sif-fra.html" TargetMode="External"/><Relationship Id="rId45" Type="http://schemas.openxmlformats.org/officeDocument/2006/relationships/hyperlink" Target="https://www.cbsa-asfc.gc.ca/publications/dm-md/d4/d4-1-7-fra.html" TargetMode="External"/><Relationship Id="rId53" Type="http://schemas.openxmlformats.org/officeDocument/2006/relationships/hyperlink" Target="https://www.cbsa-asfc.gc.ca/publications/dm-md/d11/d11-6-6-fra.html" TargetMode="External"/><Relationship Id="rId58" Type="http://schemas.openxmlformats.org/officeDocument/2006/relationships/hyperlink" Target="https://www.cbsa-asfc.gc.ca/publications/dm-md/d17/d17-1-3-fra.html" TargetMode="External"/><Relationship Id="rId66" Type="http://schemas.openxmlformats.org/officeDocument/2006/relationships/hyperlink" Target="https://www.cbsa-asfc.gc.ca/publications/forms-formulaires/b3-3-fra.html" TargetMode="External"/><Relationship Id="rId74" Type="http://schemas.openxmlformats.org/officeDocument/2006/relationships/hyperlink" Target="https://www.canada.ca/fr/agence-revenu/services/formulaires-publications/formulaires/l601.html" TargetMode="External"/><Relationship Id="rId79" Type="http://schemas.openxmlformats.org/officeDocument/2006/relationships/hyperlink" Target="http://www.thesaurus.gc.ca/recherche-search/thes-eng.html" TargetMode="External"/><Relationship Id="rId5" Type="http://schemas.openxmlformats.org/officeDocument/2006/relationships/webSettings" Target="webSettings.xml"/><Relationship Id="rId61" Type="http://schemas.openxmlformats.org/officeDocument/2006/relationships/hyperlink" Target="https://cbsa-asfc.gc.ca/publications/dm-md/d17/d17-4-0-fra.html" TargetMode="External"/><Relationship Id="rId82" Type="http://schemas.openxmlformats.org/officeDocument/2006/relationships/header" Target="header2.xml"/><Relationship Id="rId19" Type="http://schemas.openxmlformats.org/officeDocument/2006/relationships/hyperlink" Target="https://www.canada.ca/fr/services/impots/taxes-daccise-droits-et-prelevements/exploitez-entreprise-produits-vapotage-apprenez-plus-droits-accise-produits-vapotage.html" TargetMode="External"/><Relationship Id="rId4" Type="http://schemas.openxmlformats.org/officeDocument/2006/relationships/settings" Target="settings.xml"/><Relationship Id="rId9" Type="http://schemas.openxmlformats.org/officeDocument/2006/relationships/hyperlink" Target="file:///C:\Users\exd047\AppData\Roaming\OpenText\OTEdit\EC_apollo\c91233863\TBD_______" TargetMode="External"/><Relationship Id="rId14" Type="http://schemas.openxmlformats.org/officeDocument/2006/relationships/image" Target="media/image2.png"/><Relationship Id="rId22" Type="http://schemas.openxmlformats.org/officeDocument/2006/relationships/hyperlink" Target="https://laws-lois.justice.gc.ca/fra/lois/c-1.68/index.html" TargetMode="External"/><Relationship Id="rId27" Type="http://schemas.openxmlformats.org/officeDocument/2006/relationships/hyperlink" Target="https://laws-lois.justice.gc.ca/fra/lois/S-15/page-1.html" TargetMode="External"/><Relationship Id="rId30" Type="http://schemas.openxmlformats.org/officeDocument/2006/relationships/hyperlink" Target="https://laws-lois.justice.gc.ca/fra/lois/t-11.5/page-2.html" TargetMode="External"/><Relationship Id="rId35" Type="http://schemas.openxmlformats.org/officeDocument/2006/relationships/hyperlink" Target="https://laws-lois.justice.gc.ca/fra/reglements/DORS-2003-288/" TargetMode="External"/><Relationship Id="rId43" Type="http://schemas.openxmlformats.org/officeDocument/2006/relationships/hyperlink" Target="https://www.cbsa-asfc.gc.ca/publications/dm-md/d3-fra.html" TargetMode="External"/><Relationship Id="rId48" Type="http://schemas.openxmlformats.org/officeDocument/2006/relationships/hyperlink" Target="https://www.cbsa-asfc.gc.ca/publications/dm-md/d6/d6-2-6-fra.html" TargetMode="External"/><Relationship Id="rId56" Type="http://schemas.openxmlformats.org/officeDocument/2006/relationships/hyperlink" Target="https://www.cbsa-asfc.gc.ca/publications/dm-md/d11/d11-11-3-fra.html" TargetMode="External"/><Relationship Id="rId64" Type="http://schemas.openxmlformats.org/officeDocument/2006/relationships/hyperlink" Target="https://www.cbsa-asfc.gc.ca/publications/forms-formulaires/b2-fra.html" TargetMode="External"/><Relationship Id="rId69" Type="http://schemas.openxmlformats.org/officeDocument/2006/relationships/hyperlink" Target="https://www.canada.ca/fr/agence-revenu/services/formulaires-publications/publications/edn79.html" TargetMode="External"/><Relationship Id="rId77" Type="http://schemas.openxmlformats.org/officeDocument/2006/relationships/hyperlink" Target="http://atlas/spb-dgps/res/toolkit-outils/internet-intranet/metadata_metadonnees_eng.asp" TargetMode="External"/><Relationship Id="rId8" Type="http://schemas.openxmlformats.org/officeDocument/2006/relationships/hyperlink" Target="https://www.canada.ca/fr/secretariat-conseil-tresor/services/communications-gouvernementales/guide-redaction-contenu-canada.html" TargetMode="External"/><Relationship Id="rId51" Type="http://schemas.openxmlformats.org/officeDocument/2006/relationships/hyperlink" Target="https://www.cbsa-asfc.gc.ca/publications/dm-md/d11/d11-4-16-fra.html" TargetMode="External"/><Relationship Id="rId72" Type="http://schemas.openxmlformats.org/officeDocument/2006/relationships/hyperlink" Target="https://www.canada.ca/fr/agence-revenu/services/formulaires-publications/publications/edn82/calcul-droit-vapotage.html" TargetMode="External"/><Relationship Id="rId80" Type="http://schemas.openxmlformats.org/officeDocument/2006/relationships/hyperlink" Target="http://atlas/spb-dgps/res/toolkit-outils/internet-intranet/atlas/content_owners_eng.asp"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anada.ca/fr/agence-revenu/services/formulaires-publications/formulaires/b600.html" TargetMode="External"/><Relationship Id="rId25" Type="http://schemas.openxmlformats.org/officeDocument/2006/relationships/hyperlink" Target="https://laws-lois.justice.gc.ca/fra/lois/f-27/" TargetMode="External"/><Relationship Id="rId33" Type="http://schemas.openxmlformats.org/officeDocument/2006/relationships/hyperlink" Target="https://laws-lois.justice.gc.ca/fra/reglements/C.R.C.%2C_ch._870/page-1.html" TargetMode="External"/><Relationship Id="rId38" Type="http://schemas.openxmlformats.org/officeDocument/2006/relationships/hyperlink" Target="https://laws-lois.justice.gc.ca/fra/reglements/DORS-87-720/page-1.html" TargetMode="External"/><Relationship Id="rId46" Type="http://schemas.openxmlformats.org/officeDocument/2006/relationships/hyperlink" Target="https://www.cbsa-asfc.gc.ca/publications/dm-md/d5/d5-1-1-fra.html" TargetMode="External"/><Relationship Id="rId59" Type="http://schemas.openxmlformats.org/officeDocument/2006/relationships/hyperlink" Target="https://www.cbsa-asfc.gc.ca/publications/dm-md/d17/d17-2-1-fra.html" TargetMode="External"/><Relationship Id="rId67" Type="http://schemas.openxmlformats.org/officeDocument/2006/relationships/hyperlink" Target="https://www.gazette.gc.ca/rp-pr/p2/2024/2024-05-08/html/sor-dors70-fra.html" TargetMode="External"/><Relationship Id="rId20" Type="http://schemas.openxmlformats.org/officeDocument/2006/relationships/image" Target="media/image5.png"/><Relationship Id="rId41" Type="http://schemas.openxmlformats.org/officeDocument/2006/relationships/hyperlink" Target="https://www.cbsa-asfc.gc.ca/publications/dm-md/d1/d1-2-1-fra.html" TargetMode="External"/><Relationship Id="rId54" Type="http://schemas.openxmlformats.org/officeDocument/2006/relationships/hyperlink" Target="https://www.cbsa-asfc.gc.ca/publications/dm-md/d11/d11-6-7-fra.html" TargetMode="External"/><Relationship Id="rId62" Type="http://schemas.openxmlformats.org/officeDocument/2006/relationships/hyperlink" Target="https://www.cbsa-asfc.gc.ca/publications/dm-md/d22/d22-1-1-fra.html" TargetMode="External"/><Relationship Id="rId70" Type="http://schemas.openxmlformats.org/officeDocument/2006/relationships/hyperlink" Target="https://www.canada.ca/fr/agence-revenu/services/formulaires-publications/publications/edn80.html" TargetMode="External"/><Relationship Id="rId75" Type="http://schemas.openxmlformats.org/officeDocument/2006/relationships/hyperlink" Target="https://www.canada.ca/fr/services/impots/taxes-daccise-droits-et-prelevements/exploitez-entreprise-produits-vapotage-apprenez-plus-droits-accise-produits-vapotage/declarer-verser-droits-produits-vapotage.html"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laws-lois.justice.gc.ca/fra/lois/e-14.1/" TargetMode="External"/><Relationship Id="rId28" Type="http://schemas.openxmlformats.org/officeDocument/2006/relationships/hyperlink" Target="https://laws-lois.justice.gc.ca/fra/lois/f-29.4/TexteComplet.html" TargetMode="External"/><Relationship Id="rId36" Type="http://schemas.openxmlformats.org/officeDocument/2006/relationships/hyperlink" Target="https://laws-lois.justice.gc.ca/fra/reglements/DORS-2003-288/" TargetMode="External"/><Relationship Id="rId49" Type="http://schemas.openxmlformats.org/officeDocument/2006/relationships/hyperlink" Target="https://www.cbsa-asfc.gc.ca/publications/dm-md/d7/d7-4-2-fra.html" TargetMode="External"/><Relationship Id="rId57" Type="http://schemas.openxmlformats.org/officeDocument/2006/relationships/hyperlink" Target="https://www.cbsa-asfc.gc.ca/publications/dm-md/d17-fra.html" TargetMode="External"/><Relationship Id="rId10" Type="http://schemas.openxmlformats.org/officeDocument/2006/relationships/hyperlink" Target="https://www.cbsa-asfc.gc.ca/help-aide/dimf-dodf-fra.html" TargetMode="External"/><Relationship Id="rId31" Type="http://schemas.openxmlformats.org/officeDocument/2006/relationships/hyperlink" Target="https://laws-lois.justice.gc.ca/fra/reglements/DORS-2003-203/index.html" TargetMode="External"/><Relationship Id="rId44" Type="http://schemas.openxmlformats.org/officeDocument/2006/relationships/hyperlink" Target="https://www.cbsa-asfc.gc.ca/publications/dm-md/d4/d4-1-4-fra.html" TargetMode="External"/><Relationship Id="rId52" Type="http://schemas.openxmlformats.org/officeDocument/2006/relationships/hyperlink" Target="https://www.cbsa-asfc.gc.ca/publications/dm-md/d11/d11-6-5-fra.html" TargetMode="External"/><Relationship Id="rId60" Type="http://schemas.openxmlformats.org/officeDocument/2006/relationships/hyperlink" Target="https://www.cbsa-asfc.gc.ca/publications/dm-md/d17/d17-1-22-fra.html" TargetMode="External"/><Relationship Id="rId65" Type="http://schemas.openxmlformats.org/officeDocument/2006/relationships/hyperlink" Target="https://www.cbsa-asfc.gc.ca/publications/forms-formulaires/b2g-fra.html" TargetMode="External"/><Relationship Id="rId73" Type="http://schemas.openxmlformats.org/officeDocument/2006/relationships/hyperlink" Target="https://www.canada.ca/fr/agence-revenu/services/formulaires-publications/publications/edm9-1-1.html" TargetMode="External"/><Relationship Id="rId78" Type="http://schemas.openxmlformats.org/officeDocument/2006/relationships/hyperlink" Target="http://www.thesaurus.gc.ca/recherche-search/thes-eng.html" TargetMode="External"/><Relationship Id="rId8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xm255\Desktop\Sty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081B6-FBE9-4EC9-8F3F-549BC704C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 template.dotx</Template>
  <TotalTime>1</TotalTime>
  <Pages>25</Pages>
  <Words>13643</Words>
  <Characters>77766</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Transport Canada / Transports Canada</Company>
  <LinksUpToDate>false</LinksUpToDate>
  <CharactersWithSpaces>91227</CharactersWithSpaces>
  <SharedDoc>false</SharedDoc>
  <HLinks>
    <vt:vector size="54" baseType="variant">
      <vt:variant>
        <vt:i4>4325383</vt:i4>
      </vt:variant>
      <vt:variant>
        <vt:i4>24</vt:i4>
      </vt:variant>
      <vt:variant>
        <vt:i4>0</vt:i4>
      </vt:variant>
      <vt:variant>
        <vt:i4>5</vt:i4>
      </vt:variant>
      <vt:variant>
        <vt:lpwstr>http://www.thesaurus.gc.ca/recherche-search/thes-eng.html</vt:lpwstr>
      </vt:variant>
      <vt:variant>
        <vt:lpwstr/>
      </vt:variant>
      <vt:variant>
        <vt:i4>4325383</vt:i4>
      </vt:variant>
      <vt:variant>
        <vt:i4>21</vt:i4>
      </vt:variant>
      <vt:variant>
        <vt:i4>0</vt:i4>
      </vt:variant>
      <vt:variant>
        <vt:i4>5</vt:i4>
      </vt:variant>
      <vt:variant>
        <vt:lpwstr>http://www.thesaurus.gc.ca/recherche-search/thes-eng.html</vt:lpwstr>
      </vt:variant>
      <vt:variant>
        <vt:lpwstr/>
      </vt:variant>
      <vt:variant>
        <vt:i4>3407987</vt:i4>
      </vt:variant>
      <vt:variant>
        <vt:i4>18</vt:i4>
      </vt:variant>
      <vt:variant>
        <vt:i4>0</vt:i4>
      </vt:variant>
      <vt:variant>
        <vt:i4>5</vt:i4>
      </vt:variant>
      <vt:variant>
        <vt:lpwstr>http://laws.justice.gc.ca/eng/regulations/SOR-99-53/page-1.html</vt:lpwstr>
      </vt:variant>
      <vt:variant>
        <vt:lpwstr/>
      </vt:variant>
      <vt:variant>
        <vt:i4>5767285</vt:i4>
      </vt:variant>
      <vt:variant>
        <vt:i4>15</vt:i4>
      </vt:variant>
      <vt:variant>
        <vt:i4>0</vt:i4>
      </vt:variant>
      <vt:variant>
        <vt:i4>5</vt:i4>
      </vt:variant>
      <vt:variant>
        <vt:lpwstr>http://www.tc.gc.ca/eng/marinesafety/debs-obs-quick-quick_visitor-1610.htm</vt:lpwstr>
      </vt:variant>
      <vt:variant>
        <vt:lpwstr/>
      </vt:variant>
      <vt:variant>
        <vt:i4>1900639</vt:i4>
      </vt:variant>
      <vt:variant>
        <vt:i4>12</vt:i4>
      </vt:variant>
      <vt:variant>
        <vt:i4>0</vt:i4>
      </vt:variant>
      <vt:variant>
        <vt:i4>5</vt:i4>
      </vt:variant>
      <vt:variant>
        <vt:lpwstr>https://www.tc.gc.ca/media/documents/marinesafety/TP-511e.pdf</vt:lpwstr>
      </vt:variant>
      <vt:variant>
        <vt:lpwstr/>
      </vt:variant>
      <vt:variant>
        <vt:i4>3276857</vt:i4>
      </vt:variant>
      <vt:variant>
        <vt:i4>6</vt:i4>
      </vt:variant>
      <vt:variant>
        <vt:i4>0</vt:i4>
      </vt:variant>
      <vt:variant>
        <vt:i4>5</vt:i4>
      </vt:variant>
      <vt:variant>
        <vt:lpwstr/>
      </vt:variant>
      <vt:variant>
        <vt:lpwstr>_Another_subheading_[HEADING</vt:lpwstr>
      </vt:variant>
      <vt:variant>
        <vt:i4>1310790</vt:i4>
      </vt:variant>
      <vt:variant>
        <vt:i4>3</vt:i4>
      </vt:variant>
      <vt:variant>
        <vt:i4>0</vt:i4>
      </vt:variant>
      <vt:variant>
        <vt:i4>5</vt:i4>
      </vt:variant>
      <vt:variant>
        <vt:lpwstr/>
      </vt:variant>
      <vt:variant>
        <vt:lpwstr>_Subheading_[HEADING_2]</vt:lpwstr>
      </vt:variant>
      <vt:variant>
        <vt:i4>2687099</vt:i4>
      </vt:variant>
      <vt:variant>
        <vt:i4>0</vt:i4>
      </vt:variant>
      <vt:variant>
        <vt:i4>0</vt:i4>
      </vt:variant>
      <vt:variant>
        <vt:i4>5</vt:i4>
      </vt:variant>
      <vt:variant>
        <vt:lpwstr>https://www.canada.ca/en/transport-canada.html</vt:lpwstr>
      </vt:variant>
      <vt:variant>
        <vt:lpwstr/>
      </vt:variant>
      <vt:variant>
        <vt:i4>6357001</vt:i4>
      </vt:variant>
      <vt:variant>
        <vt:i4>3758</vt:i4>
      </vt:variant>
      <vt:variant>
        <vt:i4>1025</vt:i4>
      </vt:variant>
      <vt:variant>
        <vt:i4>1</vt:i4>
      </vt:variant>
      <vt:variant>
        <vt:lpwstr>cid:image001.png@01D16016.4B04D550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bohays</dc:creator>
  <cp:keywords/>
  <dc:description/>
  <cp:lastModifiedBy>Doana, Emil</cp:lastModifiedBy>
  <cp:revision>3</cp:revision>
  <cp:lastPrinted>2015-10-09T16:59:00Z</cp:lastPrinted>
  <dcterms:created xsi:type="dcterms:W3CDTF">2024-05-08T15:00:00Z</dcterms:created>
  <dcterms:modified xsi:type="dcterms:W3CDTF">2024-05-08T15:00:00Z</dcterms:modified>
</cp:coreProperties>
</file>