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20" w:rsidRPr="00B23720" w:rsidRDefault="00230536" w:rsidP="00B23720">
      <w:pPr>
        <w:jc w:val="center"/>
        <w:rPr>
          <w:b/>
          <w:sz w:val="32"/>
        </w:rPr>
      </w:pPr>
      <w:r w:rsidRPr="00B23720">
        <w:rPr>
          <w:b/>
          <w:sz w:val="32"/>
        </w:rPr>
        <w:t>Summary of Integrated Import Declaration (IID) transactions requiring a Safe Food for Canadian (SFC) licence</w:t>
      </w:r>
      <w:r w:rsidR="00B23720" w:rsidRPr="00B23720">
        <w:rPr>
          <w:b/>
          <w:sz w:val="32"/>
        </w:rPr>
        <w:t>s by commodity program</w:t>
      </w:r>
      <w:r w:rsidR="006D719D">
        <w:rPr>
          <w:rStyle w:val="EndnoteReference"/>
          <w:b/>
          <w:sz w:val="32"/>
        </w:rPr>
        <w:endnoteReference w:id="1"/>
      </w:r>
    </w:p>
    <w:tbl>
      <w:tblPr>
        <w:tblStyle w:val="TableGridLight"/>
        <w:tblpPr w:leftFromText="180" w:rightFromText="180" w:vertAnchor="page" w:horzAnchor="margin" w:tblpXSpec="center" w:tblpY="3357"/>
        <w:tblW w:w="10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  <w:gridCol w:w="1728"/>
      </w:tblGrid>
      <w:tr w:rsidR="003B4E6E" w:rsidRPr="004E5F73" w:rsidTr="00E50B1F">
        <w:trPr>
          <w:trHeight w:val="1610"/>
        </w:trPr>
        <w:tc>
          <w:tcPr>
            <w:tcW w:w="1728" w:type="dxa"/>
            <w:shd w:val="clear" w:color="auto" w:fill="D9D9D9" w:themeFill="background1" w:themeFillShade="D9"/>
            <w:noWrap/>
            <w:hideMark/>
          </w:tcPr>
          <w:p w:rsidR="007A7426" w:rsidRPr="004E5F73" w:rsidRDefault="007A7426" w:rsidP="007A742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Commodity Programs</w:t>
            </w:r>
          </w:p>
        </w:tc>
        <w:tc>
          <w:tcPr>
            <w:tcW w:w="1728" w:type="dxa"/>
            <w:shd w:val="clear" w:color="auto" w:fill="D9D9D9" w:themeFill="background1" w:themeFillShade="D9"/>
            <w:hideMark/>
          </w:tcPr>
          <w:p w:rsidR="007A7426" w:rsidRPr="004E5F73" w:rsidRDefault="007A7426" w:rsidP="007A742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Total number of IID transactions with a declared SFC </w:t>
            </w:r>
            <w:proofErr w:type="spellStart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licence</w:t>
            </w:r>
            <w:proofErr w:type="spellEnd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28" w:type="dxa"/>
            <w:shd w:val="clear" w:color="auto" w:fill="B8CCE4" w:themeFill="accent1" w:themeFillTint="66"/>
            <w:hideMark/>
          </w:tcPr>
          <w:p w:rsidR="007A7426" w:rsidRPr="004E5F73" w:rsidRDefault="007A7426" w:rsidP="007A742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Total number of IID transactions with a valid SFC </w:t>
            </w:r>
            <w:proofErr w:type="spellStart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licence</w:t>
            </w:r>
            <w:proofErr w:type="spellEnd"/>
          </w:p>
        </w:tc>
        <w:tc>
          <w:tcPr>
            <w:tcW w:w="1728" w:type="dxa"/>
            <w:shd w:val="clear" w:color="auto" w:fill="FBD4B4" w:themeFill="accent6" w:themeFillTint="66"/>
            <w:hideMark/>
          </w:tcPr>
          <w:p w:rsidR="007A7426" w:rsidRPr="004E5F73" w:rsidRDefault="007A7426" w:rsidP="006D719D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Total number of IID transactions without a valid SFC </w:t>
            </w:r>
            <w:proofErr w:type="spellStart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licence</w:t>
            </w:r>
            <w:proofErr w:type="spellEnd"/>
            <w:r w:rsidR="006D719D" w:rsidRPr="004E5F73">
              <w:rPr>
                <w:rStyle w:val="EndnoteReference"/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endnoteReference w:id="2"/>
            </w:r>
          </w:p>
        </w:tc>
        <w:tc>
          <w:tcPr>
            <w:tcW w:w="1728" w:type="dxa"/>
            <w:shd w:val="clear" w:color="auto" w:fill="CCC0D9" w:themeFill="accent4" w:themeFillTint="66"/>
            <w:hideMark/>
          </w:tcPr>
          <w:p w:rsidR="007A7426" w:rsidRPr="004E5F73" w:rsidRDefault="007A7426" w:rsidP="007A742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Total number of IID transactions with a SFC </w:t>
            </w:r>
            <w:proofErr w:type="spellStart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licence</w:t>
            </w:r>
            <w:proofErr w:type="spellEnd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without  “importing food”</w:t>
            </w:r>
          </w:p>
        </w:tc>
        <w:tc>
          <w:tcPr>
            <w:tcW w:w="1728" w:type="dxa"/>
            <w:shd w:val="clear" w:color="auto" w:fill="B6DDE8" w:themeFill="accent5" w:themeFillTint="66"/>
            <w:hideMark/>
          </w:tcPr>
          <w:p w:rsidR="007A7426" w:rsidRPr="004E5F73" w:rsidRDefault="007A7426" w:rsidP="007A742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Total number of IID transactions with a SFC </w:t>
            </w:r>
            <w:proofErr w:type="spellStart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licence</w:t>
            </w:r>
            <w:proofErr w:type="spellEnd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without correct commodity</w:t>
            </w:r>
          </w:p>
        </w:tc>
      </w:tr>
      <w:tr w:rsidR="00476406" w:rsidRPr="004E5F73" w:rsidTr="003C530F">
        <w:trPr>
          <w:trHeight w:val="368"/>
        </w:trPr>
        <w:tc>
          <w:tcPr>
            <w:tcW w:w="1728" w:type="dxa"/>
            <w:shd w:val="clear" w:color="auto" w:fill="auto"/>
            <w:noWrap/>
            <w:hideMark/>
          </w:tcPr>
          <w:p w:rsidR="00476406" w:rsidRPr="00E50B1F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Fish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476406" w:rsidRPr="004E5F73" w:rsidTr="003C530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476406" w:rsidRPr="00E50B1F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Honey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476406" w:rsidRPr="004E5F73" w:rsidTr="003C530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476406" w:rsidRPr="00E50B1F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Dairy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2839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</w:tr>
      <w:tr w:rsidR="00476406" w:rsidRPr="004E5F73" w:rsidTr="003C530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476406" w:rsidRPr="00E50B1F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Egg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476406" w:rsidRPr="004E5F73" w:rsidTr="003C530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476406" w:rsidRPr="00E50B1F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Meat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6650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5252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476406" w:rsidRPr="004E5F73" w:rsidTr="003C530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476406" w:rsidRPr="00E50B1F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Processed FFV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12741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3570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1443</w:t>
            </w:r>
          </w:p>
        </w:tc>
      </w:tr>
      <w:tr w:rsidR="00476406" w:rsidRPr="004E5F73" w:rsidTr="003C530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476406" w:rsidRPr="00E50B1F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FFV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37529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36882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2749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</w:t>
            </w:r>
          </w:p>
        </w:tc>
      </w:tr>
      <w:tr w:rsidR="00476406" w:rsidRPr="004E5F73" w:rsidTr="003C530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476406" w:rsidRPr="00E50B1F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Maple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28" w:type="dxa"/>
          </w:tcPr>
          <w:p w:rsidR="00476406" w:rsidRPr="004E5F73" w:rsidRDefault="00476406" w:rsidP="0047640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06" w:rsidRDefault="00476406" w:rsidP="004764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476406" w:rsidRPr="004E5F73" w:rsidTr="00E50B1F">
        <w:trPr>
          <w:trHeight w:val="315"/>
        </w:trPr>
        <w:tc>
          <w:tcPr>
            <w:tcW w:w="1728" w:type="dxa"/>
            <w:shd w:val="clear" w:color="auto" w:fill="auto"/>
            <w:noWrap/>
            <w:hideMark/>
          </w:tcPr>
          <w:p w:rsidR="00476406" w:rsidRPr="004E5F73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shd w:val="clear" w:color="auto" w:fill="auto"/>
            <w:noWrap/>
            <w:hideMark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noWrap/>
            <w:hideMark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noWrap/>
            <w:hideMark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noWrap/>
            <w:hideMark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noWrap/>
            <w:hideMark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76406" w:rsidRPr="004E5F73" w:rsidTr="00E50B1F">
        <w:trPr>
          <w:trHeight w:val="315"/>
        </w:trPr>
        <w:tc>
          <w:tcPr>
            <w:tcW w:w="1728" w:type="dxa"/>
            <w:shd w:val="clear" w:color="auto" w:fill="D9D9D9" w:themeFill="background1" w:themeFillShade="D9"/>
            <w:noWrap/>
            <w:hideMark/>
          </w:tcPr>
          <w:p w:rsidR="00476406" w:rsidRPr="004E5F73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728" w:type="dxa"/>
            <w:shd w:val="clear" w:color="auto" w:fill="D9D9D9" w:themeFill="background1" w:themeFillShade="D9"/>
            <w:noWrap/>
            <w:hideMark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begin"/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instrText xml:space="preserve"> =SUM(ABOVE) </w:instrTex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  <w:lang w:val="en-US"/>
              </w:rPr>
              <w:t>64849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28" w:type="dxa"/>
            <w:noWrap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begin"/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instrText xml:space="preserve"> =SUM(ABOVE) </w:instrTex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  <w:lang w:val="en-US"/>
              </w:rPr>
              <w:t>56789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28" w:type="dxa"/>
            <w:noWrap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begin"/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instrText xml:space="preserve"> =SUM(ABOVE) </w:instrTex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  <w:lang w:val="en-US"/>
              </w:rPr>
              <w:t>7799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28" w:type="dxa"/>
            <w:noWrap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begin"/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instrText xml:space="preserve"> =SUM(ABOVE) </w:instrTex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  <w:lang w:val="en-US"/>
              </w:rPr>
              <w:t>1217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28" w:type="dxa"/>
            <w:noWrap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begin"/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instrText xml:space="preserve"> =SUM(ABOVE) </w:instrTex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  <w:lang w:val="en-US"/>
              </w:rPr>
              <w:t>2852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</w:tr>
      <w:tr w:rsidR="00476406" w:rsidRPr="004E5F73" w:rsidTr="00E50B1F">
        <w:trPr>
          <w:trHeight w:val="315"/>
        </w:trPr>
        <w:tc>
          <w:tcPr>
            <w:tcW w:w="1728" w:type="dxa"/>
            <w:shd w:val="clear" w:color="auto" w:fill="D9D9D9" w:themeFill="background1" w:themeFillShade="D9"/>
            <w:noWrap/>
            <w:hideMark/>
          </w:tcPr>
          <w:p w:rsidR="00476406" w:rsidRPr="004E5F73" w:rsidRDefault="00476406" w:rsidP="0047640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Percentage</w:t>
            </w:r>
          </w:p>
        </w:tc>
        <w:tc>
          <w:tcPr>
            <w:tcW w:w="1728" w:type="dxa"/>
            <w:shd w:val="clear" w:color="auto" w:fill="D9D9D9" w:themeFill="background1" w:themeFillShade="D9"/>
            <w:noWrap/>
            <w:hideMark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28" w:type="dxa"/>
            <w:noWrap/>
            <w:hideMark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87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57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728" w:type="dxa"/>
            <w:noWrap/>
            <w:hideMark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12.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03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728" w:type="dxa"/>
            <w:noWrap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1.88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728" w:type="dxa"/>
            <w:noWrap/>
            <w:hideMark/>
          </w:tcPr>
          <w:p w:rsidR="00476406" w:rsidRPr="004E5F73" w:rsidRDefault="00476406" w:rsidP="00476406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4.40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%</w:t>
            </w:r>
          </w:p>
        </w:tc>
      </w:tr>
    </w:tbl>
    <w:p w:rsidR="00B23720" w:rsidRPr="003B4E6E" w:rsidRDefault="00B23720" w:rsidP="00B23720">
      <w:pPr>
        <w:jc w:val="center"/>
        <w:rPr>
          <w:b/>
        </w:rPr>
      </w:pPr>
      <w:r w:rsidRPr="003B4E6E">
        <w:rPr>
          <w:b/>
        </w:rPr>
        <w:t xml:space="preserve">Dates: </w:t>
      </w:r>
      <w:r w:rsidR="00BB094D">
        <w:rPr>
          <w:b/>
        </w:rPr>
        <w:t>November</w:t>
      </w:r>
      <w:r w:rsidR="00670555" w:rsidRPr="003B4E6E">
        <w:rPr>
          <w:b/>
        </w:rPr>
        <w:t xml:space="preserve"> </w:t>
      </w:r>
      <w:r w:rsidRPr="003B4E6E">
        <w:rPr>
          <w:b/>
        </w:rPr>
        <w:t>1 – 3</w:t>
      </w:r>
      <w:r w:rsidR="00BB094D">
        <w:rPr>
          <w:b/>
        </w:rPr>
        <w:t>0</w:t>
      </w:r>
      <w:r w:rsidRPr="003B4E6E">
        <w:rPr>
          <w:b/>
        </w:rPr>
        <w:t>, 2020</w:t>
      </w:r>
    </w:p>
    <w:p w:rsidR="008829BB" w:rsidRDefault="008829BB" w:rsidP="00B23720">
      <w:pPr>
        <w:jc w:val="center"/>
        <w:rPr>
          <w:b/>
        </w:rPr>
      </w:pPr>
      <w:bookmarkStart w:id="0" w:name="_GoBack"/>
      <w:bookmarkEnd w:id="0"/>
    </w:p>
    <w:p w:rsidR="009C0E8B" w:rsidRDefault="00B23720" w:rsidP="008829BB">
      <w:pPr>
        <w:jc w:val="both"/>
        <w:rPr>
          <w:lang w:val="en"/>
        </w:rPr>
      </w:pPr>
      <w:r>
        <w:t xml:space="preserve">A SFC licence </w:t>
      </w:r>
      <w:r>
        <w:rPr>
          <w:lang w:val="en"/>
        </w:rPr>
        <w:t>must cover the activity of "Importing Food", as well as the food commodity or commodities that are being imported.</w:t>
      </w:r>
      <w:r w:rsidR="002B5840">
        <w:rPr>
          <w:lang w:val="en"/>
        </w:rPr>
        <w:t xml:space="preserve"> </w:t>
      </w:r>
      <w:proofErr w:type="spellStart"/>
      <w:r w:rsidR="009C0E8B">
        <w:rPr>
          <w:lang w:val="en"/>
        </w:rPr>
        <w:t>Licences</w:t>
      </w:r>
      <w:proofErr w:type="spellEnd"/>
      <w:r w:rsidR="009C0E8B">
        <w:rPr>
          <w:lang w:val="en"/>
        </w:rPr>
        <w:t xml:space="preserve"> without “importing food” or the correct commodity</w:t>
      </w:r>
      <w:r w:rsidR="002B5840">
        <w:rPr>
          <w:lang w:val="en"/>
        </w:rPr>
        <w:t xml:space="preserve"> category</w:t>
      </w:r>
      <w:r w:rsidR="009C0E8B">
        <w:rPr>
          <w:lang w:val="en"/>
        </w:rPr>
        <w:t xml:space="preserve"> can be corrected by the </w:t>
      </w:r>
      <w:proofErr w:type="spellStart"/>
      <w:r w:rsidR="009C0E8B">
        <w:rPr>
          <w:lang w:val="en"/>
        </w:rPr>
        <w:t>licence</w:t>
      </w:r>
      <w:proofErr w:type="spellEnd"/>
      <w:r w:rsidR="009C0E8B">
        <w:rPr>
          <w:lang w:val="en"/>
        </w:rPr>
        <w:t xml:space="preserve"> holder in their </w:t>
      </w:r>
      <w:hyperlink r:id="rId7" w:history="1">
        <w:proofErr w:type="spellStart"/>
        <w:r w:rsidR="009C0E8B" w:rsidRPr="009C0E8B">
          <w:rPr>
            <w:rStyle w:val="Hyperlink"/>
            <w:lang w:val="en"/>
          </w:rPr>
          <w:t>MyCFIA</w:t>
        </w:r>
        <w:proofErr w:type="spellEnd"/>
      </w:hyperlink>
      <w:r w:rsidR="009C0E8B">
        <w:rPr>
          <w:lang w:val="en"/>
        </w:rPr>
        <w:t xml:space="preserve"> account.</w:t>
      </w:r>
    </w:p>
    <w:p w:rsidR="002B5840" w:rsidRDefault="002B5840" w:rsidP="002B5840">
      <w:pPr>
        <w:jc w:val="both"/>
        <w:rPr>
          <w:lang w:val="en"/>
        </w:rPr>
      </w:pPr>
      <w:r>
        <w:rPr>
          <w:lang w:val="en"/>
        </w:rPr>
        <w:t>For more information on food commodities, including definitions and examples of the types of food included in each commodity, refer to </w:t>
      </w:r>
      <w:hyperlink r:id="rId8" w:anchor="anna" w:history="1">
        <w:r>
          <w:rPr>
            <w:rStyle w:val="Hyperlink"/>
            <w:lang w:val="en"/>
          </w:rPr>
          <w:t>Appendix A</w:t>
        </w:r>
      </w:hyperlink>
      <w:r>
        <w:rPr>
          <w:lang w:val="en"/>
        </w:rPr>
        <w:t> of </w:t>
      </w:r>
      <w:hyperlink r:id="rId9" w:history="1">
        <w:r>
          <w:rPr>
            <w:rStyle w:val="Hyperlink"/>
            <w:lang w:val="en"/>
          </w:rPr>
          <w:t xml:space="preserve">What to consider before applying for a Safe Food for Canadians </w:t>
        </w:r>
        <w:proofErr w:type="spellStart"/>
        <w:r>
          <w:rPr>
            <w:rStyle w:val="Hyperlink"/>
            <w:lang w:val="en"/>
          </w:rPr>
          <w:t>licence</w:t>
        </w:r>
        <w:proofErr w:type="spellEnd"/>
      </w:hyperlink>
      <w:r>
        <w:rPr>
          <w:lang w:val="en"/>
        </w:rPr>
        <w:t>.</w:t>
      </w:r>
    </w:p>
    <w:p w:rsidR="009C0E8B" w:rsidRDefault="009C0E8B" w:rsidP="008829BB">
      <w:pPr>
        <w:jc w:val="both"/>
        <w:rPr>
          <w:lang w:val="en"/>
        </w:rPr>
      </w:pPr>
    </w:p>
    <w:p w:rsidR="009C0E8B" w:rsidRDefault="009C0E8B" w:rsidP="008829BB">
      <w:pPr>
        <w:jc w:val="both"/>
        <w:rPr>
          <w:lang w:val="en"/>
        </w:rPr>
      </w:pPr>
    </w:p>
    <w:sectPr w:rsidR="009C0E8B" w:rsidSect="004823F8">
      <w:headerReference w:type="default" r:id="rId10"/>
      <w:footerReference w:type="default" r:id="rId11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3EF" w:rsidRDefault="003B73EF" w:rsidP="003B73EF">
      <w:pPr>
        <w:spacing w:after="0" w:line="240" w:lineRule="auto"/>
      </w:pPr>
      <w:r>
        <w:separator/>
      </w:r>
    </w:p>
  </w:endnote>
  <w:endnote w:type="continuationSeparator" w:id="0">
    <w:p w:rsidR="003B73EF" w:rsidRDefault="003B73EF" w:rsidP="003B73EF">
      <w:pPr>
        <w:spacing w:after="0" w:line="240" w:lineRule="auto"/>
      </w:pPr>
      <w:r>
        <w:continuationSeparator/>
      </w:r>
    </w:p>
  </w:endnote>
  <w:endnote w:id="1">
    <w:p w:rsidR="006D719D" w:rsidRDefault="006D719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D719D">
        <w:rPr>
          <w:sz w:val="14"/>
        </w:rPr>
        <w:t>Excludes Manufactured foods</w:t>
      </w:r>
    </w:p>
  </w:endnote>
  <w:endnote w:id="2">
    <w:p w:rsidR="006D719D" w:rsidRDefault="006D719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D719D">
        <w:rPr>
          <w:sz w:val="14"/>
        </w:rPr>
        <w:t>Invalid licence number may be due to entering a number other than a 8-digit SFC licence, incorrectly entering the licence number, leaving the field blank, incorrect activity on the licence profile or incorrect commodity on the licence profile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3EF" w:rsidRDefault="003B73EF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1" layoutInCell="0" allowOverlap="1" wp14:anchorId="5B780E7C" wp14:editId="27D0A16F">
          <wp:simplePos x="914400" y="5642811"/>
          <wp:positionH relativeFrom="page">
            <wp:align>center</wp:align>
          </wp:positionH>
          <wp:positionV relativeFrom="bottomMargin">
            <wp:posOffset>-3959225</wp:posOffset>
          </wp:positionV>
          <wp:extent cx="7543800" cy="4279392"/>
          <wp:effectExtent l="0" t="0" r="0" b="6985"/>
          <wp:wrapNone/>
          <wp:docPr id="2" name="Picture 2" descr="N:\Public Affairs\Communications\PRODUCTION\Social Media and Creative Services\17-120 Digital Central\header-footer-final\maple-leaf-water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Public Affairs\Communications\PRODUCTION\Social Media and Creative Services\17-120 Digital Central\header-footer-final\maple-leaf-watermar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279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1" layoutInCell="0" allowOverlap="1" wp14:anchorId="09CDF8DE" wp14:editId="3DD11273">
          <wp:simplePos x="914400" y="9011285"/>
          <wp:positionH relativeFrom="page">
            <wp:align>center</wp:align>
          </wp:positionH>
          <wp:positionV relativeFrom="bottomMargin">
            <wp:posOffset>45720</wp:posOffset>
          </wp:positionV>
          <wp:extent cx="7543800" cy="749808"/>
          <wp:effectExtent l="0" t="0" r="0" b="0"/>
          <wp:wrapNone/>
          <wp:docPr id="3" name="Picture 3" descr="N:\Public Affairs\Communications\PRODUCTION\Social Media and Creative Services\17-120 Digital Central\header-footer-final\Footer-8.25x0.82-in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Public Affairs\Communications\PRODUCTION\Social Media and Creative Services\17-120 Digital Central\header-footer-final\Footer-8.25x0.82-inch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4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3EF" w:rsidRDefault="003B73EF" w:rsidP="003B73EF">
      <w:pPr>
        <w:spacing w:after="0" w:line="240" w:lineRule="auto"/>
      </w:pPr>
      <w:r>
        <w:separator/>
      </w:r>
    </w:p>
  </w:footnote>
  <w:footnote w:type="continuationSeparator" w:id="0">
    <w:p w:rsidR="003B73EF" w:rsidRDefault="003B73EF" w:rsidP="003B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3EF" w:rsidRDefault="003B73E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1" layoutInCell="0" allowOverlap="1" wp14:anchorId="640C424A" wp14:editId="4557FC54">
          <wp:simplePos x="914400" y="457200"/>
          <wp:positionH relativeFrom="page">
            <wp:align>center</wp:align>
          </wp:positionH>
          <wp:positionV relativeFrom="topMargin">
            <wp:posOffset>128270</wp:posOffset>
          </wp:positionV>
          <wp:extent cx="7543800" cy="638175"/>
          <wp:effectExtent l="0" t="0" r="0" b="9525"/>
          <wp:wrapNone/>
          <wp:docPr id="1" name="Picture 1" descr="N:\Public Affairs\Communications\PRODUCTION\Social Media and Creative Services\17-120 Digital Central\header-footer-final\Header-8.25x0.71-inch-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Public Affairs\Communications\PRODUCTION\Social Media and Creative Services\17-120 Digital Central\header-footer-final\Header-8.25x0.71-inch-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EA"/>
    <w:rsid w:val="001C26B0"/>
    <w:rsid w:val="00230536"/>
    <w:rsid w:val="0024452B"/>
    <w:rsid w:val="0025574C"/>
    <w:rsid w:val="002B5840"/>
    <w:rsid w:val="003B4E6E"/>
    <w:rsid w:val="003B73EF"/>
    <w:rsid w:val="00451FE9"/>
    <w:rsid w:val="00466106"/>
    <w:rsid w:val="00476406"/>
    <w:rsid w:val="004823F8"/>
    <w:rsid w:val="004C3CA5"/>
    <w:rsid w:val="004E5F73"/>
    <w:rsid w:val="005C4AEA"/>
    <w:rsid w:val="006121AC"/>
    <w:rsid w:val="00670555"/>
    <w:rsid w:val="006C3C92"/>
    <w:rsid w:val="006D719D"/>
    <w:rsid w:val="007A7426"/>
    <w:rsid w:val="008829BB"/>
    <w:rsid w:val="008E1A6C"/>
    <w:rsid w:val="008F2250"/>
    <w:rsid w:val="009C0E8B"/>
    <w:rsid w:val="009C7208"/>
    <w:rsid w:val="009E5B3D"/>
    <w:rsid w:val="009F0FF7"/>
    <w:rsid w:val="009F5CEA"/>
    <w:rsid w:val="00B23720"/>
    <w:rsid w:val="00BB094D"/>
    <w:rsid w:val="00CA5230"/>
    <w:rsid w:val="00D955F0"/>
    <w:rsid w:val="00E5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26AA156"/>
  <w15:docId w15:val="{4AF286E7-0991-43CD-87AD-59C1016B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230"/>
    <w:rPr>
      <w:rFonts w:ascii="Arial" w:hAnsi="Arial" w:cs="Arial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230"/>
    <w:pPr>
      <w:outlineLvl w:val="0"/>
    </w:pPr>
    <w:rPr>
      <w:b/>
      <w:color w:val="3B8686"/>
      <w:sz w:val="36"/>
      <w:szCs w:val="36"/>
      <w:lang w:val="en-0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230"/>
    <w:pPr>
      <w:outlineLvl w:val="1"/>
    </w:pPr>
    <w:rPr>
      <w:b/>
      <w:color w:val="3B8686"/>
      <w:sz w:val="32"/>
      <w:szCs w:val="32"/>
      <w:lang w:val="en-0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230"/>
    <w:pPr>
      <w:outlineLvl w:val="2"/>
    </w:pPr>
    <w:rPr>
      <w:b/>
      <w:color w:val="3B8686"/>
      <w:sz w:val="28"/>
      <w:szCs w:val="28"/>
      <w:lang w:val="en-02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230"/>
    <w:pPr>
      <w:outlineLvl w:val="3"/>
    </w:pPr>
    <w:rPr>
      <w:b/>
      <w:lang w:val="en-0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230"/>
    <w:pPr>
      <w:outlineLvl w:val="4"/>
    </w:pPr>
    <w:rPr>
      <w:b/>
      <w:i/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3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E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B73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EF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EF"/>
    <w:rPr>
      <w:rFonts w:ascii="Tahoma" w:hAnsi="Tahoma" w:cs="Tahoma"/>
      <w:sz w:val="16"/>
      <w:szCs w:val="1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CA5230"/>
    <w:rPr>
      <w:rFonts w:ascii="Arial" w:hAnsi="Arial" w:cs="Arial"/>
      <w:b/>
      <w:color w:val="3B868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230"/>
    <w:rPr>
      <w:rFonts w:ascii="Arial" w:hAnsi="Arial" w:cs="Arial"/>
      <w:b/>
      <w:color w:val="3B868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230"/>
    <w:rPr>
      <w:rFonts w:ascii="Arial" w:hAnsi="Arial" w:cs="Arial"/>
      <w:b/>
      <w:color w:val="3B868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230"/>
    <w:rPr>
      <w:rFonts w:ascii="Arial" w:hAnsi="Arial" w:cs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230"/>
    <w:rPr>
      <w:rFonts w:ascii="Arial" w:hAnsi="Arial" w:cs="Arial"/>
      <w:b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A5230"/>
    <w:rPr>
      <w:b/>
      <w:color w:val="05486C"/>
      <w:sz w:val="44"/>
      <w:szCs w:val="44"/>
      <w:lang w:val="en-029"/>
    </w:rPr>
  </w:style>
  <w:style w:type="character" w:customStyle="1" w:styleId="TitleChar">
    <w:name w:val="Title Char"/>
    <w:basedOn w:val="DefaultParagraphFont"/>
    <w:link w:val="Title"/>
    <w:uiPriority w:val="10"/>
    <w:rsid w:val="00CA5230"/>
    <w:rPr>
      <w:rFonts w:ascii="Arial" w:hAnsi="Arial" w:cs="Arial"/>
      <w:b/>
      <w:color w:val="05486C"/>
      <w:sz w:val="44"/>
      <w:szCs w:val="44"/>
    </w:rPr>
  </w:style>
  <w:style w:type="character" w:styleId="Strong">
    <w:name w:val="Strong"/>
    <w:basedOn w:val="DefaultParagraphFont"/>
    <w:uiPriority w:val="22"/>
    <w:qFormat/>
    <w:rsid w:val="00CA5230"/>
    <w:rPr>
      <w:b/>
      <w:bCs/>
    </w:rPr>
  </w:style>
  <w:style w:type="character" w:styleId="Emphasis">
    <w:name w:val="Emphasis"/>
    <w:basedOn w:val="DefaultParagraphFont"/>
    <w:uiPriority w:val="20"/>
    <w:qFormat/>
    <w:rsid w:val="00CA5230"/>
    <w:rPr>
      <w:i/>
      <w:iCs/>
    </w:rPr>
  </w:style>
  <w:style w:type="paragraph" w:styleId="NoSpacing">
    <w:name w:val="No Spacing"/>
    <w:uiPriority w:val="1"/>
    <w:qFormat/>
    <w:rsid w:val="00CA5230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A5230"/>
    <w:rPr>
      <w:b/>
      <w:bCs/>
      <w:i/>
      <w:iCs/>
      <w:color w:val="3B868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5230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2372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7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720"/>
    <w:rPr>
      <w:rFonts w:ascii="Arial" w:hAnsi="Arial" w:cs="Arial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237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71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719D"/>
    <w:rPr>
      <w:rFonts w:ascii="Arial" w:hAnsi="Arial" w:cs="Arial"/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unhideWhenUsed/>
    <w:rsid w:val="006D719D"/>
    <w:rPr>
      <w:vertAlign w:val="superscript"/>
    </w:rPr>
  </w:style>
  <w:style w:type="table" w:styleId="ListTable3-Accent5">
    <w:name w:val="List Table 3 Accent 5"/>
    <w:basedOn w:val="TableNormal"/>
    <w:uiPriority w:val="48"/>
    <w:rsid w:val="0067055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6705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4-Accent1">
    <w:name w:val="Grid Table 4 Accent 1"/>
    <w:basedOn w:val="TableNormal"/>
    <w:uiPriority w:val="49"/>
    <w:rsid w:val="0067055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4E5F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pection.gc.ca/food-licences/obtain-a-licence/eng/1543359915240/15433606632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pection.gc.ca/about-cfia/my-cfia/eng/1482204298243/14822043183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pection.gc.ca/food-licences/obtain-a-licence/eng/1543359915240/154336066324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2A26-B52F-471E-9BEE-A8B76EC6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AAFC-AAC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Rogers</dc:creator>
  <cp:keywords/>
  <dc:description/>
  <cp:lastModifiedBy>Alia Blais</cp:lastModifiedBy>
  <cp:revision>3</cp:revision>
  <dcterms:created xsi:type="dcterms:W3CDTF">2020-12-08T17:49:00Z</dcterms:created>
  <dcterms:modified xsi:type="dcterms:W3CDTF">2020-12-08T17:58:00Z</dcterms:modified>
</cp:coreProperties>
</file>