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DDD9C3"/>
          <w:left w:val="single" w:sz="4" w:space="0" w:color="DDD9C3"/>
          <w:bottom w:val="single" w:sz="4" w:space="0" w:color="DDD9C3"/>
          <w:right w:val="single" w:sz="4" w:space="0" w:color="DDD9C3"/>
          <w:insideH w:val="single" w:sz="4" w:space="0" w:color="DDD9C3"/>
          <w:insideV w:val="single" w:sz="4" w:space="0" w:color="DDD9C3"/>
        </w:tblBorders>
        <w:tblLook w:val="04A0" w:firstRow="1" w:lastRow="0" w:firstColumn="1" w:lastColumn="0" w:noHBand="0" w:noVBand="1"/>
      </w:tblPr>
      <w:tblGrid>
        <w:gridCol w:w="1743"/>
        <w:gridCol w:w="7517"/>
      </w:tblGrid>
      <w:tr w:rsidR="00C0484F" w:rsidRPr="00BF0829" w14:paraId="5880FB3B" w14:textId="77777777" w:rsidTr="007A216B">
        <w:trPr>
          <w:trHeight w:val="546"/>
        </w:trPr>
        <w:tc>
          <w:tcPr>
            <w:tcW w:w="941" w:type="pct"/>
            <w:tcBorders>
              <w:bottom w:val="single" w:sz="4" w:space="0" w:color="DDD9C3"/>
            </w:tcBorders>
            <w:shd w:val="clear" w:color="auto" w:fill="DBE5F1" w:themeFill="accent1" w:themeFillTint="33"/>
          </w:tcPr>
          <w:p w14:paraId="3A9566FA" w14:textId="77777777" w:rsidR="00C0484F" w:rsidRPr="00BF0829" w:rsidRDefault="00C0484F" w:rsidP="00416477">
            <w:r w:rsidRPr="00BF0829">
              <w:t>Fil d’Ariane</w:t>
            </w:r>
          </w:p>
        </w:tc>
        <w:tc>
          <w:tcPr>
            <w:tcW w:w="4059" w:type="pct"/>
            <w:tcBorders>
              <w:bottom w:val="single" w:sz="4" w:space="0" w:color="DDD9C3"/>
            </w:tcBorders>
            <w:shd w:val="clear" w:color="auto" w:fill="F9F9F9"/>
          </w:tcPr>
          <w:p w14:paraId="109C554C" w14:textId="29E44AB7" w:rsidR="00C0484F" w:rsidRPr="00BF0829" w:rsidRDefault="00C0484F" w:rsidP="00416477">
            <w:pPr>
              <w:rPr>
                <w:color w:val="F2F2F2" w:themeColor="background1" w:themeShade="F2"/>
              </w:rPr>
            </w:pPr>
            <w:r w:rsidRPr="00BF0829">
              <w:rPr>
                <w:color w:val="808080" w:themeColor="background1" w:themeShade="80"/>
              </w:rPr>
              <w:t>example:</w:t>
            </w:r>
            <w:r w:rsidRPr="00BF0829">
              <w:t xml:space="preserve"> </w:t>
            </w:r>
            <w:r w:rsidR="0058429D" w:rsidRPr="00BF0829">
              <w:t>Acceuil</w:t>
            </w:r>
            <w:r w:rsidRPr="00BF0829">
              <w:t xml:space="preserve">  &gt; Publications &gt; </w:t>
            </w:r>
            <w:r w:rsidR="0058429D" w:rsidRPr="00BF0829">
              <w:t xml:space="preserve">Mémorandums D </w:t>
            </w:r>
            <w:r w:rsidRPr="00BF0829">
              <w:t xml:space="preserve">&gt; </w:t>
            </w:r>
            <w:r w:rsidR="0058429D" w:rsidRPr="00BF0829">
              <w:t>D10 : Classification tarifaire : Marchandises</w:t>
            </w:r>
          </w:p>
        </w:tc>
      </w:tr>
    </w:tbl>
    <w:p w14:paraId="6732F03B" w14:textId="7124C796" w:rsidR="00C0484F" w:rsidRPr="00DD26A7" w:rsidRDefault="00C0484F" w:rsidP="00E852A5">
      <w:pPr>
        <w:pStyle w:val="Heading1"/>
        <w:rPr>
          <w:lang w:val="fr-CA"/>
        </w:rPr>
      </w:pPr>
      <w:r w:rsidRPr="00DD26A7">
        <w:rPr>
          <w:lang w:val="fr-CA"/>
        </w:rPr>
        <w:t xml:space="preserve">Mémorandum </w:t>
      </w:r>
      <w:r w:rsidR="00667172" w:rsidRPr="00DD26A7">
        <w:rPr>
          <w:lang w:val="fr-CA"/>
        </w:rPr>
        <w:t>D10-14-33</w:t>
      </w:r>
      <w:r w:rsidR="00EE04F6" w:rsidRPr="00DD26A7">
        <w:rPr>
          <w:lang w:val="fr-CA"/>
        </w:rPr>
        <w:t xml:space="preserve">: </w:t>
      </w:r>
      <w:r w:rsidR="00667172" w:rsidRPr="00DD26A7">
        <w:rPr>
          <w:lang w:val="fr-CA"/>
        </w:rPr>
        <w:t>Classement tarifaire de</w:t>
      </w:r>
      <w:r w:rsidR="00194A4F" w:rsidRPr="00DD26A7">
        <w:rPr>
          <w:lang w:val="fr-CA"/>
        </w:rPr>
        <w:t>s</w:t>
      </w:r>
      <w:r w:rsidR="00667172" w:rsidRPr="00DD26A7">
        <w:rPr>
          <w:lang w:val="fr-CA"/>
        </w:rPr>
        <w:t xml:space="preserve"> </w:t>
      </w:r>
      <w:r w:rsidR="00194A4F" w:rsidRPr="00DD26A7">
        <w:rPr>
          <w:lang w:val="fr-CA"/>
        </w:rPr>
        <w:t xml:space="preserve">minéraux </w:t>
      </w:r>
      <w:r w:rsidR="00667172" w:rsidRPr="00DD26A7">
        <w:rPr>
          <w:lang w:val="fr-CA"/>
        </w:rPr>
        <w:t>d</w:t>
      </w:r>
      <w:r w:rsidR="00BE129D">
        <w:rPr>
          <w:lang w:val="fr-CA"/>
        </w:rPr>
        <w:t>es</w:t>
      </w:r>
      <w:r w:rsidR="00667172" w:rsidRPr="00DD26A7">
        <w:rPr>
          <w:lang w:val="fr-CA"/>
        </w:rPr>
        <w:t xml:space="preserve"> type</w:t>
      </w:r>
      <w:r w:rsidR="00BE129D">
        <w:rPr>
          <w:lang w:val="fr-CA"/>
        </w:rPr>
        <w:t>s</w:t>
      </w:r>
      <w:r w:rsidR="00667172" w:rsidRPr="00DD26A7">
        <w:rPr>
          <w:lang w:val="fr-CA"/>
        </w:rPr>
        <w:t xml:space="preserve"> utilisé</w:t>
      </w:r>
      <w:r w:rsidR="00BE129D">
        <w:rPr>
          <w:lang w:val="fr-CA"/>
        </w:rPr>
        <w:t>s</w:t>
      </w:r>
      <w:r w:rsidR="00667172" w:rsidRPr="00DD26A7">
        <w:rPr>
          <w:lang w:val="fr-CA"/>
        </w:rPr>
        <w:t xml:space="preserve"> </w:t>
      </w:r>
      <w:r w:rsidR="007A1AC5" w:rsidRPr="00DD26A7">
        <w:rPr>
          <w:lang w:val="fr-CA"/>
        </w:rPr>
        <w:t xml:space="preserve">pour </w:t>
      </w:r>
      <w:r w:rsidR="00194A4F" w:rsidRPr="00DD26A7">
        <w:rPr>
          <w:lang w:val="fr-CA"/>
        </w:rPr>
        <w:t>l'alimentation des animaux</w:t>
      </w:r>
    </w:p>
    <w:p w14:paraId="2836F38F" w14:textId="77777777" w:rsidR="00C0484F" w:rsidRPr="00BF0829" w:rsidRDefault="00C0484F" w:rsidP="00416477">
      <w:r w:rsidRPr="00BF0829">
        <w:t>ISSN 2369-2391</w:t>
      </w:r>
    </w:p>
    <w:p w14:paraId="45379202" w14:textId="60756B61" w:rsidR="00EE04F6" w:rsidRPr="00BF0829" w:rsidRDefault="00EE04F6" w:rsidP="00416477">
      <w:r w:rsidRPr="00BF0829">
        <w:t xml:space="preserve">ISBN </w:t>
      </w:r>
      <w:r w:rsidRPr="00BF0829">
        <w:rPr>
          <w:highlight w:val="yellow"/>
        </w:rPr>
        <w:t>XXXXXX</w:t>
      </w:r>
    </w:p>
    <w:p w14:paraId="5F2A6C8B" w14:textId="026039A3" w:rsidR="00C0484F" w:rsidRPr="00BF0829" w:rsidRDefault="00C0484F" w:rsidP="00416477">
      <w:r w:rsidRPr="00BF0829">
        <w:t xml:space="preserve">Ottawa, </w:t>
      </w:r>
      <w:r w:rsidR="00244961" w:rsidRPr="00BF0829">
        <w:rPr>
          <w:highlight w:val="yellow"/>
        </w:rPr>
        <w:t xml:space="preserve">le jour </w:t>
      </w:r>
      <w:r w:rsidRPr="00BF0829">
        <w:rPr>
          <w:highlight w:val="yellow"/>
        </w:rPr>
        <w:t xml:space="preserve">mois </w:t>
      </w:r>
      <w:r w:rsidR="00244961" w:rsidRPr="00BF0829">
        <w:rPr>
          <w:highlight w:val="yellow"/>
        </w:rPr>
        <w:t>année</w:t>
      </w:r>
    </w:p>
    <w:p w14:paraId="79930827" w14:textId="2542CC3A" w:rsidR="00C0484F" w:rsidRPr="00BF0829" w:rsidRDefault="00C0484F" w:rsidP="00416477">
      <w:r w:rsidRPr="00BF0829">
        <w:t xml:space="preserve">Ce document est également offert en format </w:t>
      </w:r>
      <w:hyperlink r:id="rId8" w:history="1">
        <w:r w:rsidRPr="00BF0829">
          <w:rPr>
            <w:rStyle w:val="Hyperlink"/>
            <w:rFonts w:eastAsiaTheme="minorHAnsi"/>
            <w:highlight w:val="yellow"/>
          </w:rPr>
          <w:t>PDF (</w:t>
        </w:r>
        <w:r w:rsidR="00D17385" w:rsidRPr="00BF0829">
          <w:rPr>
            <w:rStyle w:val="Hyperlink"/>
            <w:rFonts w:eastAsiaTheme="minorHAnsi"/>
            <w:highlight w:val="yellow"/>
          </w:rPr>
          <w:t>X</w:t>
        </w:r>
        <w:r w:rsidRPr="00BF0829">
          <w:rPr>
            <w:rStyle w:val="Hyperlink"/>
            <w:rFonts w:eastAsiaTheme="minorHAnsi"/>
            <w:highlight w:val="yellow"/>
          </w:rPr>
          <w:t> Ko)</w:t>
        </w:r>
      </w:hyperlink>
      <w:r w:rsidRPr="00BF0829">
        <w:t xml:space="preserve"> </w:t>
      </w:r>
    </w:p>
    <w:p w14:paraId="7AF927C2" w14:textId="0EA18173" w:rsidR="00416477" w:rsidRPr="00BF0829" w:rsidRDefault="008323DE" w:rsidP="00416477">
      <w:pPr>
        <w:pStyle w:val="Heading2"/>
        <w:rPr>
          <w:lang w:val="fr-CA"/>
        </w:rPr>
      </w:pPr>
      <w:r w:rsidRPr="00BF0829">
        <w:rPr>
          <w:lang w:val="fr-CA"/>
        </w:rPr>
        <w:t>Résumé</w:t>
      </w:r>
      <w:r w:rsidR="00416477" w:rsidRPr="00BF0829">
        <w:rPr>
          <w:lang w:val="fr-CA"/>
        </w:rPr>
        <w:t xml:space="preserve"> en langage clair </w:t>
      </w:r>
    </w:p>
    <w:p w14:paraId="48928540" w14:textId="2B09C8D8" w:rsidR="00416477" w:rsidRPr="00BF0829" w:rsidRDefault="00416477" w:rsidP="00416477">
      <w:pPr>
        <w:rPr>
          <w:sz w:val="22"/>
          <w:szCs w:val="22"/>
        </w:rPr>
      </w:pPr>
      <w:r w:rsidRPr="00BF0829">
        <w:rPr>
          <w:b/>
        </w:rPr>
        <w:t>Public cible :</w:t>
      </w:r>
      <w:r w:rsidRPr="00BF0829">
        <w:t xml:space="preserve">  Importateurs de</w:t>
      </w:r>
      <w:r w:rsidR="002B3EEB" w:rsidRPr="00BF0829">
        <w:t xml:space="preserve"> </w:t>
      </w:r>
      <w:r w:rsidR="00503658" w:rsidRPr="00BF0829">
        <w:t>marchandises commerciales</w:t>
      </w:r>
    </w:p>
    <w:p w14:paraId="380EB19B" w14:textId="57BC130F" w:rsidR="00416477" w:rsidRPr="00BF0829" w:rsidRDefault="00416477" w:rsidP="00416477">
      <w:r w:rsidRPr="00BF0829">
        <w:rPr>
          <w:b/>
        </w:rPr>
        <w:t>Sujet principal:</w:t>
      </w:r>
      <w:r w:rsidRPr="00BF0829">
        <w:t xml:space="preserve"> </w:t>
      </w:r>
      <w:r w:rsidR="00503658" w:rsidRPr="00BF0829">
        <w:rPr>
          <w:color w:val="333333"/>
          <w:shd w:val="clear" w:color="auto" w:fill="FFFFFF"/>
        </w:rPr>
        <w:t>Li</w:t>
      </w:r>
      <w:r w:rsidR="003A3AAB" w:rsidRPr="00BF0829">
        <w:rPr>
          <w:color w:val="333333"/>
          <w:shd w:val="clear" w:color="auto" w:fill="FFFFFF"/>
        </w:rPr>
        <w:t>n</w:t>
      </w:r>
      <w:r w:rsidR="00503658" w:rsidRPr="00BF0829">
        <w:rPr>
          <w:color w:val="333333"/>
          <w:shd w:val="clear" w:color="auto" w:fill="FFFFFF"/>
        </w:rPr>
        <w:t>ges directrices</w:t>
      </w:r>
      <w:r w:rsidR="004049F9" w:rsidRPr="00BF0829">
        <w:rPr>
          <w:color w:val="333333"/>
          <w:shd w:val="clear" w:color="auto" w:fill="FFFFFF"/>
        </w:rPr>
        <w:t xml:space="preserve"> sur la manière de classer les minéraux d</w:t>
      </w:r>
      <w:r w:rsidR="00BE129D">
        <w:rPr>
          <w:color w:val="333333"/>
          <w:shd w:val="clear" w:color="auto" w:fill="FFFFFF"/>
        </w:rPr>
        <w:t>es</w:t>
      </w:r>
      <w:r w:rsidR="004049F9" w:rsidRPr="00BF0829">
        <w:rPr>
          <w:color w:val="333333"/>
          <w:shd w:val="clear" w:color="auto" w:fill="FFFFFF"/>
        </w:rPr>
        <w:t xml:space="preserve"> type</w:t>
      </w:r>
      <w:r w:rsidR="00BE129D">
        <w:rPr>
          <w:color w:val="333333"/>
          <w:shd w:val="clear" w:color="auto" w:fill="FFFFFF"/>
        </w:rPr>
        <w:t>s</w:t>
      </w:r>
      <w:r w:rsidR="004049F9" w:rsidRPr="00BF0829">
        <w:rPr>
          <w:color w:val="333333"/>
          <w:shd w:val="clear" w:color="auto" w:fill="FFFFFF"/>
        </w:rPr>
        <w:t xml:space="preserve"> </w:t>
      </w:r>
      <w:r w:rsidR="00BE129D">
        <w:rPr>
          <w:color w:val="333333"/>
          <w:shd w:val="clear" w:color="auto" w:fill="FFFFFF"/>
        </w:rPr>
        <w:t>utilisés pour</w:t>
      </w:r>
      <w:r w:rsidR="004049F9" w:rsidRPr="00BF0829">
        <w:rPr>
          <w:color w:val="333333"/>
          <w:shd w:val="clear" w:color="auto" w:fill="FFFFFF"/>
        </w:rPr>
        <w:t xml:space="preserve"> l’alimentation animale.</w:t>
      </w:r>
    </w:p>
    <w:p w14:paraId="26C05A7B" w14:textId="2FF108F2" w:rsidR="00416477" w:rsidRPr="00BF0829" w:rsidRDefault="00416477" w:rsidP="00416477">
      <w:r w:rsidRPr="00BF0829">
        <w:rPr>
          <w:b/>
        </w:rPr>
        <w:t>Mots</w:t>
      </w:r>
      <w:r w:rsidR="00D40A2E" w:rsidRPr="00BF0829">
        <w:rPr>
          <w:b/>
        </w:rPr>
        <w:t xml:space="preserve"> </w:t>
      </w:r>
      <w:r w:rsidRPr="00BF0829">
        <w:rPr>
          <w:b/>
        </w:rPr>
        <w:t>clés :</w:t>
      </w:r>
      <w:r w:rsidRPr="00BF0829">
        <w:t xml:space="preserve"> </w:t>
      </w:r>
      <w:r w:rsidR="005A1432" w:rsidRPr="00BF0829">
        <w:t>Classement tarifaire, m</w:t>
      </w:r>
      <w:r w:rsidR="004049F9" w:rsidRPr="00BF0829">
        <w:t xml:space="preserve">inéraux, </w:t>
      </w:r>
      <w:r w:rsidR="00194A4F" w:rsidRPr="00BF0829">
        <w:t xml:space="preserve">pierre </w:t>
      </w:r>
      <w:r w:rsidR="005A00B1" w:rsidRPr="00BF0829">
        <w:rPr>
          <w:color w:val="333333"/>
        </w:rPr>
        <w:t>à</w:t>
      </w:r>
      <w:r w:rsidR="00194A4F" w:rsidRPr="00BF0829">
        <w:t xml:space="preserve"> chaux</w:t>
      </w:r>
      <w:r w:rsidR="004049F9" w:rsidRPr="00BF0829">
        <w:t xml:space="preserve">, aliments pour animaux, </w:t>
      </w:r>
      <w:r w:rsidR="00194A4F" w:rsidRPr="00BF0829">
        <w:t>alimentation</w:t>
      </w:r>
      <w:r w:rsidR="004049F9" w:rsidRPr="00BF0829">
        <w:t xml:space="preserve"> </w:t>
      </w:r>
      <w:r w:rsidR="005A1432" w:rsidRPr="00BF0829">
        <w:t>animale</w:t>
      </w:r>
      <w:r w:rsidR="004049F9" w:rsidRPr="00BF0829">
        <w:t>.</w:t>
      </w:r>
    </w:p>
    <w:p w14:paraId="36D2A8E2" w14:textId="77777777" w:rsidR="00C0484F" w:rsidRPr="00BF0829" w:rsidRDefault="00C0484F" w:rsidP="00416477">
      <w:pPr>
        <w:pStyle w:val="Heading2"/>
        <w:rPr>
          <w:highlight w:val="yellow"/>
          <w:lang w:val="fr-CA"/>
        </w:rPr>
      </w:pPr>
      <w:r w:rsidRPr="00BF0829">
        <w:rPr>
          <w:lang w:val="fr-CA"/>
        </w:rPr>
        <w:t xml:space="preserve">Sur cette page  </w:t>
      </w:r>
    </w:p>
    <w:p w14:paraId="4AA5AFFB" w14:textId="77777777" w:rsidR="00C0484F" w:rsidRPr="00BF0829" w:rsidRDefault="00C0484F" w:rsidP="00416477">
      <w:pPr>
        <w:pStyle w:val="ListParagraph"/>
        <w:numPr>
          <w:ilvl w:val="0"/>
          <w:numId w:val="28"/>
        </w:numPr>
        <w:rPr>
          <w:rStyle w:val="Hyperlink"/>
          <w:lang w:val="fr-CA"/>
        </w:rPr>
      </w:pPr>
      <w:hyperlink w:anchor="_Mises_à_jour" w:history="1">
        <w:r w:rsidRPr="00BF0829">
          <w:rPr>
            <w:rStyle w:val="Hyperlink"/>
            <w:lang w:val="fr-CA"/>
          </w:rPr>
          <w:t>Mises à jour apportées à ce mémorandum D</w:t>
        </w:r>
      </w:hyperlink>
      <w:r w:rsidRPr="00BF0829">
        <w:rPr>
          <w:lang w:val="fr-CA"/>
        </w:rPr>
        <w:t xml:space="preserve"> </w:t>
      </w:r>
    </w:p>
    <w:p w14:paraId="79E61362" w14:textId="77777777" w:rsidR="00C0484F" w:rsidRPr="00DD26A7" w:rsidRDefault="00C0484F" w:rsidP="00416477">
      <w:pPr>
        <w:pStyle w:val="ListParagraph"/>
        <w:numPr>
          <w:ilvl w:val="0"/>
          <w:numId w:val="28"/>
        </w:numPr>
        <w:rPr>
          <w:color w:val="2004EC"/>
          <w:u w:val="single"/>
          <w:lang w:val="fr-CA"/>
        </w:rPr>
      </w:pPr>
      <w:hyperlink w:anchor="_Another_subheading_[HEADING" w:history="1">
        <w:r w:rsidRPr="00BF0829">
          <w:rPr>
            <w:rStyle w:val="Hyperlink"/>
            <w:lang w:val="fr-CA"/>
          </w:rPr>
          <w:t>Lignes directrices</w:t>
        </w:r>
      </w:hyperlink>
    </w:p>
    <w:p w14:paraId="595F7DD7" w14:textId="5853E997" w:rsidR="00693EA9" w:rsidRPr="00BF0829" w:rsidRDefault="00693EA9" w:rsidP="00693EA9">
      <w:pPr>
        <w:pStyle w:val="ListParagraph"/>
        <w:numPr>
          <w:ilvl w:val="1"/>
          <w:numId w:val="28"/>
        </w:numPr>
        <w:rPr>
          <w:rStyle w:val="Hyperlink"/>
          <w:lang w:val="fr-CA"/>
        </w:rPr>
      </w:pPr>
      <w:hyperlink w:anchor="_Produits_composés_d’un" w:history="1">
        <w:r w:rsidRPr="00BF0829">
          <w:rPr>
            <w:rStyle w:val="Hyperlink"/>
            <w:lang w:val="fr-CA"/>
          </w:rPr>
          <w:t>Produits composés d’un seul minéral</w:t>
        </w:r>
      </w:hyperlink>
    </w:p>
    <w:p w14:paraId="3AEE6E09" w14:textId="0260F917" w:rsidR="00693EA9" w:rsidRPr="00BF0829" w:rsidRDefault="00693EA9" w:rsidP="00693EA9">
      <w:pPr>
        <w:pStyle w:val="ListParagraph"/>
        <w:numPr>
          <w:ilvl w:val="1"/>
          <w:numId w:val="28"/>
        </w:numPr>
        <w:rPr>
          <w:rStyle w:val="Hyperlink"/>
          <w:lang w:val="fr-CA"/>
        </w:rPr>
      </w:pPr>
      <w:hyperlink w:anchor="_Produits_contenant_deux" w:history="1">
        <w:r w:rsidRPr="00BF0829">
          <w:rPr>
            <w:rStyle w:val="Hyperlink"/>
            <w:lang w:val="fr-CA"/>
          </w:rPr>
          <w:t>Produits contenant deux minéraux ou plus</w:t>
        </w:r>
      </w:hyperlink>
    </w:p>
    <w:p w14:paraId="3531FE8E" w14:textId="62D371C2" w:rsidR="00693EA9" w:rsidRPr="00BF0829" w:rsidRDefault="00693EA9" w:rsidP="00693EA9">
      <w:pPr>
        <w:pStyle w:val="ListParagraph"/>
        <w:numPr>
          <w:ilvl w:val="1"/>
          <w:numId w:val="28"/>
        </w:numPr>
        <w:rPr>
          <w:rStyle w:val="Hyperlink"/>
          <w:lang w:val="fr-CA"/>
        </w:rPr>
      </w:pPr>
      <w:hyperlink w:anchor="_Pierre_à_chaux" w:history="1">
        <w:r w:rsidRPr="00BF0829">
          <w:rPr>
            <w:rStyle w:val="Hyperlink"/>
            <w:lang w:val="fr-CA"/>
          </w:rPr>
          <w:t>Pierre à chaux de type utilisé pour l’alimentation animale</w:t>
        </w:r>
      </w:hyperlink>
    </w:p>
    <w:p w14:paraId="0FC449C1" w14:textId="0CB06FFD" w:rsidR="00693EA9" w:rsidRPr="00BF0829" w:rsidRDefault="00693EA9" w:rsidP="00DD26A7">
      <w:pPr>
        <w:pStyle w:val="ListParagraph"/>
        <w:numPr>
          <w:ilvl w:val="1"/>
          <w:numId w:val="28"/>
        </w:numPr>
        <w:rPr>
          <w:rStyle w:val="Hyperlink"/>
          <w:lang w:val="fr-CA"/>
        </w:rPr>
      </w:pPr>
      <w:hyperlink w:anchor="_Renseignements_supplémentaires" w:history="1">
        <w:r w:rsidRPr="00BF0829">
          <w:rPr>
            <w:rStyle w:val="Hyperlink"/>
            <w:lang w:val="fr-CA"/>
          </w:rPr>
          <w:t>Renseignements supplémentaires</w:t>
        </w:r>
      </w:hyperlink>
    </w:p>
    <w:p w14:paraId="1B7ED7EB" w14:textId="79349F63" w:rsidR="00C0484F" w:rsidRPr="00BF0829" w:rsidRDefault="00C0484F" w:rsidP="00416477">
      <w:pPr>
        <w:pStyle w:val="ListParagraph"/>
        <w:numPr>
          <w:ilvl w:val="0"/>
          <w:numId w:val="28"/>
        </w:numPr>
        <w:rPr>
          <w:rStyle w:val="Hyperlink"/>
          <w:lang w:val="fr-CA"/>
        </w:rPr>
      </w:pPr>
      <w:hyperlink w:anchor="_Références_[obligatoire]" w:history="1">
        <w:r w:rsidRPr="00BF0829">
          <w:rPr>
            <w:rStyle w:val="Hyperlink"/>
            <w:lang w:val="fr-CA"/>
          </w:rPr>
          <w:t>Références</w:t>
        </w:r>
      </w:hyperlink>
    </w:p>
    <w:p w14:paraId="6C2E1FC5" w14:textId="6533FF9D" w:rsidR="00C0484F" w:rsidRPr="00BF0829" w:rsidRDefault="005A1432" w:rsidP="00416477">
      <w:pPr>
        <w:pStyle w:val="ListParagraph"/>
        <w:numPr>
          <w:ilvl w:val="0"/>
          <w:numId w:val="28"/>
        </w:numPr>
        <w:rPr>
          <w:lang w:val="fr-CA"/>
        </w:rPr>
      </w:pPr>
      <w:hyperlink w:anchor="_Communiquer_avec_nous" w:history="1">
        <w:r w:rsidRPr="00DD26A7">
          <w:rPr>
            <w:rStyle w:val="Hyperlink"/>
            <w:lang w:val="fr-CA"/>
          </w:rPr>
          <w:t>Communiquer avec nous</w:t>
        </w:r>
      </w:hyperlink>
    </w:p>
    <w:bookmarkStart w:id="0" w:name="_Subheading_use_Heading"/>
    <w:bookmarkStart w:id="1" w:name="_Subheading_[HEADING_2]"/>
    <w:bookmarkEnd w:id="0"/>
    <w:bookmarkEnd w:id="1"/>
    <w:p w14:paraId="4085BAC2" w14:textId="16E209B9" w:rsidR="00C0484F" w:rsidRPr="00BF0829" w:rsidRDefault="005A1432" w:rsidP="00416477">
      <w:pPr>
        <w:pStyle w:val="ListParagraph"/>
        <w:numPr>
          <w:ilvl w:val="0"/>
          <w:numId w:val="28"/>
        </w:numPr>
        <w:rPr>
          <w:lang w:val="fr-CA"/>
        </w:rPr>
      </w:pPr>
      <w:r w:rsidRPr="00DD26A7">
        <w:rPr>
          <w:lang w:val="fr-CA"/>
        </w:rPr>
        <w:fldChar w:fldCharType="begin"/>
      </w:r>
      <w:r w:rsidRPr="00DD26A7">
        <w:rPr>
          <w:lang w:val="fr-CA"/>
        </w:rPr>
        <w:instrText>HYPERLINK  \l "_Liens_connexes"</w:instrText>
      </w:r>
      <w:r w:rsidRPr="00DD26A7">
        <w:rPr>
          <w:lang w:val="fr-CA"/>
        </w:rPr>
      </w:r>
      <w:r w:rsidRPr="00DD26A7">
        <w:rPr>
          <w:lang w:val="fr-CA"/>
        </w:rPr>
        <w:fldChar w:fldCharType="separate"/>
      </w:r>
      <w:r w:rsidRPr="00DD26A7">
        <w:rPr>
          <w:rStyle w:val="Hyperlink"/>
          <w:lang w:val="fr-CA"/>
        </w:rPr>
        <w:t>Liens connexes</w:t>
      </w:r>
      <w:r w:rsidRPr="00DD26A7">
        <w:rPr>
          <w:lang w:val="fr-CA"/>
        </w:rPr>
        <w:fldChar w:fldCharType="end"/>
      </w:r>
    </w:p>
    <w:p w14:paraId="655A776C" w14:textId="77777777" w:rsidR="00C0484F" w:rsidRPr="00BF0829" w:rsidRDefault="00C0484F" w:rsidP="00416477">
      <w:pPr>
        <w:pStyle w:val="Heading2"/>
        <w:rPr>
          <w:lang w:val="fr-CA"/>
        </w:rPr>
      </w:pPr>
      <w:bookmarkStart w:id="2" w:name="_Mises_à_jour"/>
      <w:bookmarkEnd w:id="2"/>
      <w:r w:rsidRPr="00BF0829">
        <w:rPr>
          <w:lang w:val="fr-CA"/>
        </w:rPr>
        <w:lastRenderedPageBreak/>
        <w:t>Mises à jour apportées</w:t>
      </w:r>
      <w:r w:rsidRPr="00BF0829" w:rsidDel="00472E1E">
        <w:rPr>
          <w:lang w:val="fr-CA"/>
        </w:rPr>
        <w:t xml:space="preserve"> </w:t>
      </w:r>
      <w:r w:rsidRPr="00BF0829">
        <w:rPr>
          <w:lang w:val="fr-CA"/>
        </w:rPr>
        <w:t>à ce mémorandum D</w:t>
      </w:r>
    </w:p>
    <w:p w14:paraId="6F79CD4B" w14:textId="77777777" w:rsidR="004049F9" w:rsidRPr="00BF0829" w:rsidRDefault="004049F9" w:rsidP="004049F9">
      <w:pPr>
        <w:rPr>
          <w:lang w:eastAsia="en-CA"/>
        </w:rPr>
      </w:pPr>
      <w:r w:rsidRPr="00BF0829">
        <w:rPr>
          <w:lang w:eastAsia="en-CA"/>
        </w:rPr>
        <w:t>Le présent mémorandum D a été mis à jour pour tenir compte des considérations relatives à l’accessibilité et au langage clair.</w:t>
      </w:r>
    </w:p>
    <w:p w14:paraId="6ADC34D4" w14:textId="77777777" w:rsidR="004049F9" w:rsidRPr="00BF0829" w:rsidRDefault="004049F9" w:rsidP="004049F9">
      <w:pPr>
        <w:rPr>
          <w:lang w:eastAsia="en-CA"/>
        </w:rPr>
      </w:pPr>
    </w:p>
    <w:p w14:paraId="499FC93A" w14:textId="2EC59FF9" w:rsidR="004049F9" w:rsidRPr="00BF0829" w:rsidRDefault="004049F9" w:rsidP="004049F9">
      <w:pPr>
        <w:rPr>
          <w:lang w:eastAsia="en-CA"/>
        </w:rPr>
      </w:pPr>
      <w:r w:rsidRPr="00BF0829">
        <w:rPr>
          <w:lang w:eastAsia="en-CA"/>
        </w:rPr>
        <w:t>Les directives ont été élargies pour couvrir le classement tarifaire de tous les minéraux utilisés dans l’alimentation des animaux.</w:t>
      </w:r>
    </w:p>
    <w:p w14:paraId="70DA9FE0" w14:textId="46A0449C" w:rsidR="00C0484F" w:rsidRPr="00BF0829" w:rsidRDefault="00C0484F" w:rsidP="00416477">
      <w:pPr>
        <w:pStyle w:val="Heading2"/>
        <w:rPr>
          <w:lang w:val="fr-CA"/>
        </w:rPr>
      </w:pPr>
      <w:bookmarkStart w:id="3" w:name="_Another_subheading_use"/>
      <w:bookmarkStart w:id="4" w:name="_Another_subheading_[HEADING"/>
      <w:bookmarkEnd w:id="3"/>
      <w:bookmarkEnd w:id="4"/>
      <w:r w:rsidRPr="00BF0829">
        <w:rPr>
          <w:lang w:val="fr-CA"/>
        </w:rPr>
        <w:t xml:space="preserve">Lignes directrices </w:t>
      </w:r>
    </w:p>
    <w:p w14:paraId="76FC8CCE" w14:textId="56B59B69" w:rsidR="004049F9" w:rsidRPr="00BF0829" w:rsidRDefault="004049F9" w:rsidP="00E852A5">
      <w:pPr>
        <w:pStyle w:val="Heading4"/>
        <w:rPr>
          <w:rFonts w:cs="Arial"/>
          <w:color w:val="333333"/>
          <w:lang w:val="fr-CA"/>
        </w:rPr>
      </w:pPr>
      <w:bookmarkStart w:id="5" w:name="_Produits_composés_d’un"/>
      <w:bookmarkEnd w:id="5"/>
      <w:r w:rsidRPr="00BF0829">
        <w:rPr>
          <w:rFonts w:cs="Arial"/>
          <w:color w:val="333333"/>
          <w:lang w:val="fr-CA"/>
        </w:rPr>
        <w:t>Produits</w:t>
      </w:r>
      <w:r w:rsidR="00503658" w:rsidRPr="00BF0829">
        <w:rPr>
          <w:rFonts w:cs="Arial"/>
          <w:color w:val="333333"/>
          <w:lang w:val="fr-CA"/>
        </w:rPr>
        <w:t xml:space="preserve"> composés d’un seul minéral</w:t>
      </w:r>
    </w:p>
    <w:p w14:paraId="1E9080B2" w14:textId="4A3B5FD0" w:rsidR="004049F9" w:rsidRPr="00BF0829" w:rsidRDefault="004049F9" w:rsidP="00E852A5">
      <w:pPr>
        <w:pStyle w:val="NormalWeb"/>
        <w:spacing w:after="0" w:afterAutospacing="0"/>
        <w:ind w:right="56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t>1. Les marchandises qui sont composées d’un seul minéral, lorsqu’elles sont importées pour être utilisées dans l’alimentation animale</w:t>
      </w:r>
      <w:r w:rsidR="00BE129D">
        <w:rPr>
          <w:rFonts w:cs="Arial"/>
          <w:color w:val="333333"/>
          <w:lang w:val="fr-CA"/>
        </w:rPr>
        <w:t xml:space="preserve"> (qualité fourragère)</w:t>
      </w:r>
      <w:r w:rsidRPr="00BF0829">
        <w:rPr>
          <w:rFonts w:cs="Arial"/>
          <w:color w:val="333333"/>
          <w:lang w:val="fr-CA"/>
        </w:rPr>
        <w:t>, sont classées dans les positions du Chapitre 25</w:t>
      </w:r>
      <w:r w:rsidR="00D54A3C" w:rsidRPr="00BF0829">
        <w:rPr>
          <w:rFonts w:cs="Arial"/>
          <w:color w:val="333333"/>
          <w:lang w:val="fr-CA"/>
        </w:rPr>
        <w:t xml:space="preserve"> en tant que produits minéraux</w:t>
      </w:r>
      <w:r w:rsidRPr="00BF0829">
        <w:rPr>
          <w:rFonts w:cs="Arial"/>
          <w:color w:val="333333"/>
          <w:lang w:val="fr-CA"/>
        </w:rPr>
        <w:t xml:space="preserve">. Ces produits sont </w:t>
      </w:r>
      <w:r w:rsidR="006A067F" w:rsidRPr="00BF0829">
        <w:rPr>
          <w:rFonts w:cs="Arial"/>
          <w:color w:val="333333"/>
          <w:lang w:val="fr-CA"/>
        </w:rPr>
        <w:t>inclus</w:t>
      </w:r>
      <w:r w:rsidRPr="00BF0829">
        <w:rPr>
          <w:rFonts w:cs="Arial"/>
          <w:color w:val="333333"/>
          <w:lang w:val="fr-CA"/>
        </w:rPr>
        <w:t xml:space="preserve"> lorsqu’ils sont bruts, ou </w:t>
      </w:r>
      <w:r w:rsidR="005A1432" w:rsidRPr="00BF0829">
        <w:rPr>
          <w:rFonts w:cs="Arial"/>
          <w:color w:val="333333"/>
          <w:lang w:val="fr-CA"/>
        </w:rPr>
        <w:t xml:space="preserve">dans </w:t>
      </w:r>
      <w:r w:rsidRPr="00BF0829">
        <w:rPr>
          <w:rFonts w:cs="Arial"/>
          <w:color w:val="333333"/>
          <w:lang w:val="fr-CA"/>
        </w:rPr>
        <w:t>certains états non raffinés tels que :</w:t>
      </w:r>
    </w:p>
    <w:p w14:paraId="3A12E5F1" w14:textId="076A3423" w:rsidR="004049F9" w:rsidRPr="00BF0829" w:rsidRDefault="00503658" w:rsidP="00E852A5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t>concassé</w:t>
      </w:r>
      <w:r w:rsidR="005A1432" w:rsidRPr="00BF0829">
        <w:rPr>
          <w:rFonts w:cs="Arial"/>
          <w:color w:val="333333"/>
          <w:lang w:val="fr-CA"/>
        </w:rPr>
        <w:t>s</w:t>
      </w:r>
    </w:p>
    <w:p w14:paraId="2E2F89F8" w14:textId="49D02F45" w:rsidR="004049F9" w:rsidRPr="00BF0829" w:rsidRDefault="005A1432" w:rsidP="00E852A5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t>broyés</w:t>
      </w:r>
    </w:p>
    <w:p w14:paraId="579D6868" w14:textId="2C071E60" w:rsidR="004049F9" w:rsidRPr="00BF0829" w:rsidRDefault="005A1432" w:rsidP="00E852A5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173" w:afterAutospacing="0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t>pulvérisés</w:t>
      </w:r>
    </w:p>
    <w:p w14:paraId="5CA2B550" w14:textId="5B284100" w:rsidR="004049F9" w:rsidRPr="00BF0829" w:rsidRDefault="004049F9" w:rsidP="00550875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t>2. Le Chapitre 25 ne comprend pas les produits obtenus par mélange ou soumis à des opérations autres que celles spécifiquement désignées dans une position.</w:t>
      </w:r>
    </w:p>
    <w:p w14:paraId="49047A97" w14:textId="77777777" w:rsidR="004049F9" w:rsidRPr="00BF0829" w:rsidRDefault="004049F9" w:rsidP="00E852A5">
      <w:pPr>
        <w:pStyle w:val="Heading4"/>
        <w:rPr>
          <w:rFonts w:cs="Arial"/>
          <w:color w:val="333333"/>
          <w:lang w:val="fr-CA"/>
        </w:rPr>
      </w:pPr>
      <w:bookmarkStart w:id="6" w:name="_Produits_contenant_deux"/>
      <w:bookmarkEnd w:id="6"/>
      <w:r w:rsidRPr="00BF0829">
        <w:rPr>
          <w:rFonts w:cs="Arial"/>
          <w:color w:val="333333"/>
          <w:lang w:val="fr-CA"/>
        </w:rPr>
        <w:t>Produits contenant deux minéraux ou plus</w:t>
      </w:r>
    </w:p>
    <w:p w14:paraId="4BDFC50D" w14:textId="5FC2C196" w:rsidR="004049F9" w:rsidRPr="00BF0829" w:rsidRDefault="004049F9" w:rsidP="004049F9">
      <w:pPr>
        <w:pStyle w:val="NormalWeb"/>
        <w:shd w:val="clear" w:color="auto" w:fill="FFFFFF"/>
        <w:spacing w:after="173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t>3. Les préparations composées de plusieurs substances minérales peuvent être classées dans le Chapitre 23</w:t>
      </w:r>
      <w:r w:rsidR="00D54A3C" w:rsidRPr="00BF0829">
        <w:rPr>
          <w:rFonts w:cs="Arial"/>
          <w:color w:val="333333"/>
          <w:lang w:val="fr-CA"/>
        </w:rPr>
        <w:t xml:space="preserve"> en tant que aliments préparés pour animaux</w:t>
      </w:r>
      <w:r w:rsidRPr="00BF0829">
        <w:rPr>
          <w:rFonts w:cs="Arial"/>
          <w:color w:val="333333"/>
          <w:lang w:val="fr-CA"/>
        </w:rPr>
        <w:t xml:space="preserve">, sous la position 23.09, </w:t>
      </w:r>
      <w:r w:rsidRPr="00BF0829">
        <w:rPr>
          <w:rFonts w:cs="Arial"/>
          <w:b/>
          <w:bCs/>
          <w:color w:val="333333"/>
          <w:lang w:val="fr-CA"/>
        </w:rPr>
        <w:t>à condition</w:t>
      </w:r>
      <w:r w:rsidRPr="00BF0829">
        <w:rPr>
          <w:rFonts w:cs="Arial"/>
          <w:color w:val="333333"/>
          <w:lang w:val="fr-CA"/>
        </w:rPr>
        <w:t xml:space="preserve"> qu’elles soient d</w:t>
      </w:r>
      <w:r w:rsidR="00BE129D">
        <w:rPr>
          <w:rFonts w:cs="Arial"/>
          <w:color w:val="333333"/>
          <w:lang w:val="fr-CA"/>
        </w:rPr>
        <w:t>es</w:t>
      </w:r>
      <w:r w:rsidRPr="00BF0829">
        <w:rPr>
          <w:rFonts w:cs="Arial"/>
          <w:color w:val="333333"/>
          <w:lang w:val="fr-CA"/>
        </w:rPr>
        <w:t xml:space="preserve"> type</w:t>
      </w:r>
      <w:r w:rsidR="00BE129D">
        <w:rPr>
          <w:rFonts w:cs="Arial"/>
          <w:color w:val="333333"/>
          <w:lang w:val="fr-CA"/>
        </w:rPr>
        <w:t>s</w:t>
      </w:r>
      <w:r w:rsidRPr="00BF0829">
        <w:rPr>
          <w:rFonts w:cs="Arial"/>
          <w:color w:val="333333"/>
          <w:lang w:val="fr-CA"/>
        </w:rPr>
        <w:t xml:space="preserve"> utilisé</w:t>
      </w:r>
      <w:r w:rsidR="00BE129D">
        <w:rPr>
          <w:rFonts w:cs="Arial"/>
          <w:color w:val="333333"/>
          <w:lang w:val="fr-CA"/>
        </w:rPr>
        <w:t>s</w:t>
      </w:r>
      <w:r w:rsidRPr="00BF0829">
        <w:rPr>
          <w:rFonts w:cs="Arial"/>
          <w:color w:val="333333"/>
          <w:lang w:val="fr-CA"/>
        </w:rPr>
        <w:t xml:space="preserve"> pour l’alimentation des animaux.</w:t>
      </w:r>
    </w:p>
    <w:p w14:paraId="7388700E" w14:textId="62976786" w:rsidR="004049F9" w:rsidRPr="00BF0829" w:rsidRDefault="004049F9" w:rsidP="004049F9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t>4. Aux fins du classement tarifaire, le terme « préparations » désigne les mélanges de deux substances ou plus, conformément à la décision du Tribunal canadien du commerce extérieur (TCCE) AP-2018-003 - Anderson Watts Ltd.</w:t>
      </w:r>
    </w:p>
    <w:p w14:paraId="19E514C3" w14:textId="4ADE0253" w:rsidR="00194A4F" w:rsidRPr="00BF0829" w:rsidRDefault="00194A4F" w:rsidP="00E852A5">
      <w:pPr>
        <w:pStyle w:val="Heading4"/>
        <w:rPr>
          <w:rFonts w:cs="Arial"/>
          <w:color w:val="333333"/>
          <w:lang w:val="fr-CA"/>
        </w:rPr>
      </w:pPr>
      <w:bookmarkStart w:id="7" w:name="_Pierre_à_chaux"/>
      <w:bookmarkEnd w:id="7"/>
      <w:r w:rsidRPr="00BF0829">
        <w:rPr>
          <w:rFonts w:cs="Arial"/>
          <w:color w:val="333333"/>
          <w:lang w:val="fr-CA"/>
        </w:rPr>
        <w:t xml:space="preserve">Pierre </w:t>
      </w:r>
      <w:r w:rsidR="005A00B1" w:rsidRPr="00BF0829">
        <w:rPr>
          <w:rFonts w:cs="Arial"/>
          <w:color w:val="333333"/>
          <w:lang w:val="fr-CA"/>
        </w:rPr>
        <w:t xml:space="preserve">à </w:t>
      </w:r>
      <w:r w:rsidRPr="00BF0829">
        <w:rPr>
          <w:rFonts w:cs="Arial"/>
          <w:color w:val="333333"/>
          <w:lang w:val="fr-CA"/>
        </w:rPr>
        <w:t xml:space="preserve">chaux </w:t>
      </w:r>
      <w:r w:rsidR="00BE129D">
        <w:rPr>
          <w:rFonts w:cs="Arial"/>
          <w:color w:val="333333"/>
          <w:lang w:val="fr-CA"/>
        </w:rPr>
        <w:t>du</w:t>
      </w:r>
      <w:r w:rsidRPr="00BF0829">
        <w:rPr>
          <w:rFonts w:cs="Arial"/>
          <w:color w:val="333333"/>
          <w:lang w:val="fr-CA"/>
        </w:rPr>
        <w:t xml:space="preserve"> type utilisé pour l’alimentation animale</w:t>
      </w:r>
    </w:p>
    <w:p w14:paraId="30606049" w14:textId="67F4392D" w:rsidR="00194A4F" w:rsidRPr="00BF0829" w:rsidRDefault="00194A4F" w:rsidP="00194A4F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t>5. L</w:t>
      </w:r>
      <w:r w:rsidR="005A00B1" w:rsidRPr="00BF0829">
        <w:rPr>
          <w:rFonts w:cs="Arial"/>
          <w:color w:val="333333"/>
          <w:lang w:val="fr-CA"/>
        </w:rPr>
        <w:t xml:space="preserve">a pierre à chaux </w:t>
      </w:r>
      <w:r w:rsidR="00853284" w:rsidRPr="00BF0829">
        <w:rPr>
          <w:rFonts w:cs="Arial"/>
          <w:color w:val="333333"/>
          <w:lang w:val="fr-CA"/>
        </w:rPr>
        <w:t>est</w:t>
      </w:r>
      <w:r w:rsidRPr="00BF0829">
        <w:rPr>
          <w:rFonts w:cs="Arial"/>
          <w:color w:val="333333"/>
          <w:lang w:val="fr-CA"/>
        </w:rPr>
        <w:t xml:space="preserve"> utilisé</w:t>
      </w:r>
      <w:r w:rsidR="00853284" w:rsidRPr="00BF0829">
        <w:rPr>
          <w:rFonts w:cs="Arial"/>
          <w:color w:val="333333"/>
          <w:lang w:val="fr-CA"/>
        </w:rPr>
        <w:t>e</w:t>
      </w:r>
      <w:r w:rsidRPr="00BF0829">
        <w:rPr>
          <w:rFonts w:cs="Arial"/>
          <w:color w:val="333333"/>
          <w:lang w:val="fr-CA"/>
        </w:rPr>
        <w:t xml:space="preserve"> dans de nombreuses applications, telles que la fabrication de chaux et de ciment, </w:t>
      </w:r>
      <w:r w:rsidR="002B3EEB" w:rsidRPr="00BF0829">
        <w:rPr>
          <w:rFonts w:cs="Arial"/>
          <w:color w:val="333333"/>
          <w:lang w:val="fr-CA"/>
        </w:rPr>
        <w:t>pour l’</w:t>
      </w:r>
      <w:r w:rsidRPr="00BF0829">
        <w:rPr>
          <w:rFonts w:cs="Arial"/>
          <w:color w:val="333333"/>
          <w:lang w:val="fr-CA"/>
        </w:rPr>
        <w:t>amélioration des sols</w:t>
      </w:r>
      <w:r w:rsidR="002B3EEB" w:rsidRPr="00BF0829">
        <w:rPr>
          <w:rFonts w:cs="Arial"/>
          <w:color w:val="333333"/>
          <w:lang w:val="fr-CA"/>
        </w:rPr>
        <w:t>,</w:t>
      </w:r>
      <w:r w:rsidRPr="00BF0829">
        <w:rPr>
          <w:rFonts w:cs="Arial"/>
          <w:color w:val="333333"/>
          <w:lang w:val="fr-CA"/>
        </w:rPr>
        <w:t xml:space="preserve"> ou pour l’alimentation animale en raison de sa teneur élevée en carbonate de calcium.</w:t>
      </w:r>
    </w:p>
    <w:p w14:paraId="6A92B962" w14:textId="6BE1F192" w:rsidR="00194A4F" w:rsidRPr="00BF0829" w:rsidRDefault="00194A4F" w:rsidP="00194A4F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lastRenderedPageBreak/>
        <w:t>6. L’expression « de</w:t>
      </w:r>
      <w:r w:rsidR="006A067F" w:rsidRPr="00BF0829">
        <w:rPr>
          <w:rFonts w:cs="Arial"/>
          <w:color w:val="333333"/>
          <w:lang w:val="fr-CA"/>
        </w:rPr>
        <w:t>s</w:t>
      </w:r>
      <w:r w:rsidRPr="00BF0829">
        <w:rPr>
          <w:rFonts w:cs="Arial"/>
          <w:color w:val="333333"/>
          <w:lang w:val="fr-CA"/>
        </w:rPr>
        <w:t xml:space="preserve"> types utilisés » est interprétée comme signifiant que les marchandises en cause doivent :</w:t>
      </w:r>
    </w:p>
    <w:p w14:paraId="5EFC51E7" w14:textId="0D8E1007" w:rsidR="00194A4F" w:rsidRPr="00BF0829" w:rsidRDefault="00194A4F" w:rsidP="00E852A5">
      <w:pPr>
        <w:pStyle w:val="NormalWeb"/>
        <w:numPr>
          <w:ilvl w:val="0"/>
          <w:numId w:val="40"/>
        </w:numPr>
        <w:shd w:val="clear" w:color="auto" w:fill="FFFFFF"/>
        <w:spacing w:after="173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t>par leur conception, leur nature ou leur caractère, être le type de marchandises qui seraient principalement utilisées de la manière décrite, conformément à la décision AP-2018-013 du TCCE – Zuo Moderne Canada Inc.</w:t>
      </w:r>
    </w:p>
    <w:p w14:paraId="10DEFDF0" w14:textId="77777777" w:rsidR="00194A4F" w:rsidRPr="00BF0829" w:rsidRDefault="00194A4F" w:rsidP="00E852A5">
      <w:pPr>
        <w:pStyle w:val="NormalWeb"/>
        <w:shd w:val="clear" w:color="auto" w:fill="FFFFFF"/>
        <w:spacing w:after="173"/>
        <w:ind w:firstLine="720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t>et</w:t>
      </w:r>
    </w:p>
    <w:p w14:paraId="5640AB5B" w14:textId="22824FE0" w:rsidR="00194A4F" w:rsidRPr="00BF0829" w:rsidRDefault="00194A4F" w:rsidP="00E852A5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173" w:afterAutospacing="0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t>peuvent ou conviennent à l’usage précisé, mais n’ont pas besoin d’être utilisés à de telles fins, selon la décision du TCCE AP-93-359 - Ballarat Corporation Ltd.</w:t>
      </w:r>
    </w:p>
    <w:p w14:paraId="541C57C6" w14:textId="475159DB" w:rsidR="00550875" w:rsidRPr="00BF0829" w:rsidRDefault="00156526" w:rsidP="00550875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t>7.</w:t>
      </w:r>
      <w:r w:rsidR="00550875" w:rsidRPr="00BF0829">
        <w:rPr>
          <w:rFonts w:cs="Arial"/>
          <w:color w:val="333333"/>
          <w:lang w:val="fr-CA"/>
        </w:rPr>
        <w:t xml:space="preserve"> </w:t>
      </w:r>
      <w:r w:rsidR="00194A4F" w:rsidRPr="00BF0829">
        <w:rPr>
          <w:rFonts w:cs="Arial"/>
          <w:color w:val="333333"/>
          <w:lang w:val="fr-CA"/>
        </w:rPr>
        <w:t>L</w:t>
      </w:r>
      <w:r w:rsidR="00550875" w:rsidRPr="00BF0829">
        <w:rPr>
          <w:rFonts w:cs="Arial"/>
          <w:color w:val="333333"/>
          <w:lang w:val="fr-CA"/>
        </w:rPr>
        <w:t xml:space="preserve">a pierre à chaux </w:t>
      </w:r>
      <w:r w:rsidR="00853284" w:rsidRPr="00BF0829">
        <w:rPr>
          <w:rFonts w:cs="Arial"/>
          <w:color w:val="333333"/>
          <w:lang w:val="fr-CA"/>
        </w:rPr>
        <w:t xml:space="preserve">d’une pureté propre à l’alimentation animale rencontre également </w:t>
      </w:r>
      <w:r w:rsidR="005A00B1" w:rsidRPr="00BF0829">
        <w:rPr>
          <w:rFonts w:cs="Arial"/>
          <w:color w:val="333333"/>
          <w:lang w:val="fr-CA"/>
        </w:rPr>
        <w:t xml:space="preserve">l’utilisation spécifiée </w:t>
      </w:r>
      <w:r w:rsidRPr="00BF0829">
        <w:rPr>
          <w:rFonts w:cs="Arial"/>
          <w:color w:val="333333"/>
          <w:lang w:val="fr-CA"/>
        </w:rPr>
        <w:t>dans</w:t>
      </w:r>
      <w:r w:rsidR="005A00B1" w:rsidRPr="00BF0829">
        <w:rPr>
          <w:rFonts w:cs="Arial"/>
          <w:color w:val="333333"/>
          <w:lang w:val="fr-CA"/>
        </w:rPr>
        <w:t xml:space="preserve"> la position 25.21</w:t>
      </w:r>
      <w:r w:rsidR="00627136" w:rsidRPr="00BF0829">
        <w:rPr>
          <w:rFonts w:cs="Arial"/>
          <w:color w:val="333333"/>
          <w:lang w:val="fr-CA"/>
        </w:rPr>
        <w:t xml:space="preserve"> </w:t>
      </w:r>
      <w:r w:rsidR="005A00B1" w:rsidRPr="00BF0829">
        <w:rPr>
          <w:rFonts w:cs="Arial"/>
          <w:color w:val="333333"/>
          <w:lang w:val="fr-CA"/>
        </w:rPr>
        <w:t>de</w:t>
      </w:r>
      <w:r w:rsidR="00627136" w:rsidRPr="00BF0829">
        <w:rPr>
          <w:rFonts w:cs="Arial"/>
          <w:color w:val="333333"/>
          <w:lang w:val="fr-CA"/>
        </w:rPr>
        <w:t xml:space="preserve"> </w:t>
      </w:r>
      <w:r w:rsidR="005A00B1" w:rsidRPr="00BF0829">
        <w:rPr>
          <w:rFonts w:cs="Arial"/>
          <w:color w:val="333333"/>
          <w:lang w:val="fr-CA"/>
        </w:rPr>
        <w:t xml:space="preserve"> «</w:t>
      </w:r>
      <w:r w:rsidR="00853284" w:rsidRPr="00BF0829">
        <w:rPr>
          <w:rFonts w:cs="Arial"/>
          <w:color w:val="333333"/>
          <w:lang w:val="fr-CA"/>
        </w:rPr>
        <w:t xml:space="preserve">pierres à </w:t>
      </w:r>
      <w:r w:rsidRPr="00BF0829">
        <w:rPr>
          <w:rFonts w:cs="Arial"/>
          <w:color w:val="333333"/>
          <w:lang w:val="fr-CA"/>
        </w:rPr>
        <w:t>chaux ou</w:t>
      </w:r>
      <w:r w:rsidR="00853284" w:rsidRPr="00BF0829">
        <w:rPr>
          <w:rFonts w:cs="Arial"/>
          <w:color w:val="333333"/>
          <w:lang w:val="fr-CA"/>
        </w:rPr>
        <w:t xml:space="preserve"> à </w:t>
      </w:r>
      <w:r w:rsidRPr="00BF0829">
        <w:rPr>
          <w:rFonts w:cs="Arial"/>
          <w:color w:val="333333"/>
          <w:lang w:val="fr-CA"/>
        </w:rPr>
        <w:t>ciment ».</w:t>
      </w:r>
      <w:r w:rsidR="005A00B1" w:rsidRPr="00BF0829">
        <w:rPr>
          <w:rFonts w:cs="Arial"/>
          <w:color w:val="333333"/>
          <w:lang w:val="fr-CA"/>
        </w:rPr>
        <w:t> </w:t>
      </w:r>
      <w:r w:rsidRPr="00BF0829">
        <w:rPr>
          <w:rFonts w:cs="Arial"/>
          <w:color w:val="333333"/>
          <w:lang w:val="fr-CA"/>
        </w:rPr>
        <w:t xml:space="preserve">Par sa nature, la pierre de chaux est un type de marchandise qui serait principalement utilisé pour la fabrication de chaux ou de ciment. </w:t>
      </w:r>
    </w:p>
    <w:p w14:paraId="4F8F2937" w14:textId="7D2D9EA1" w:rsidR="00156526" w:rsidRPr="00BF0829" w:rsidRDefault="00156526" w:rsidP="00550875">
      <w:pPr>
        <w:pStyle w:val="NormalWeb"/>
        <w:shd w:val="clear" w:color="auto" w:fill="FFFFFF"/>
        <w:spacing w:before="0" w:beforeAutospacing="0" w:after="173" w:afterAutospacing="0"/>
        <w:rPr>
          <w:rFonts w:cs="Arial"/>
          <w:color w:val="333333"/>
          <w:lang w:val="fr-CA"/>
        </w:rPr>
      </w:pPr>
      <w:r w:rsidRPr="00BF0829">
        <w:rPr>
          <w:rFonts w:cs="Arial"/>
          <w:color w:val="333333"/>
          <w:lang w:val="fr-CA"/>
        </w:rPr>
        <w:t>8.</w:t>
      </w:r>
      <w:r w:rsidRPr="00BF0829">
        <w:rPr>
          <w:lang w:val="fr-CA"/>
        </w:rPr>
        <w:t xml:space="preserve"> </w:t>
      </w:r>
      <w:r w:rsidRPr="00BF0829">
        <w:rPr>
          <w:rFonts w:cs="Arial"/>
          <w:color w:val="333333"/>
          <w:lang w:val="fr-CA"/>
        </w:rPr>
        <w:t xml:space="preserve">Les produits de pierre de chaux </w:t>
      </w:r>
      <w:r w:rsidR="00F53D64" w:rsidRPr="00BF0829">
        <w:rPr>
          <w:rFonts w:cs="Arial"/>
          <w:color w:val="333333"/>
          <w:lang w:val="fr-CA"/>
        </w:rPr>
        <w:t xml:space="preserve">de qualité </w:t>
      </w:r>
      <w:bookmarkStart w:id="8" w:name="_Hlk235686924"/>
      <w:r w:rsidR="00BE129D">
        <w:rPr>
          <w:rFonts w:cs="Arial"/>
          <w:color w:val="333333"/>
          <w:lang w:val="fr-CA"/>
        </w:rPr>
        <w:t>fourragère</w:t>
      </w:r>
      <w:r w:rsidRPr="00BF0829">
        <w:rPr>
          <w:rFonts w:cs="Arial"/>
          <w:color w:val="333333"/>
          <w:lang w:val="fr-CA"/>
        </w:rPr>
        <w:t xml:space="preserve"> </w:t>
      </w:r>
      <w:bookmarkEnd w:id="8"/>
      <w:r w:rsidRPr="00BF0829">
        <w:rPr>
          <w:rFonts w:cs="Arial"/>
          <w:color w:val="333333"/>
          <w:lang w:val="fr-CA"/>
        </w:rPr>
        <w:t xml:space="preserve">correspondent aux termes de la position 25.21, même s’ils sont destinés à être utilisés pour nourrir les animaux. Étant </w:t>
      </w:r>
      <w:r w:rsidR="00BE129D">
        <w:rPr>
          <w:rFonts w:cs="Arial"/>
          <w:color w:val="333333"/>
          <w:lang w:val="fr-CA"/>
        </w:rPr>
        <w:t>composé d’</w:t>
      </w:r>
      <w:r w:rsidRPr="00BF0829">
        <w:rPr>
          <w:rFonts w:cs="Arial"/>
          <w:color w:val="333333"/>
          <w:lang w:val="fr-CA"/>
        </w:rPr>
        <w:t xml:space="preserve">un seul minéral, ils ne répondent pas aux termes de </w:t>
      </w:r>
      <w:r w:rsidR="00B62890" w:rsidRPr="00BF0829">
        <w:rPr>
          <w:rFonts w:cs="Arial"/>
          <w:color w:val="333333"/>
          <w:lang w:val="fr-CA"/>
        </w:rPr>
        <w:t xml:space="preserve">la position </w:t>
      </w:r>
      <w:r w:rsidRPr="00BF0829">
        <w:rPr>
          <w:rFonts w:cs="Arial"/>
          <w:color w:val="333333"/>
          <w:lang w:val="fr-CA"/>
        </w:rPr>
        <w:t>23</w:t>
      </w:r>
      <w:r w:rsidR="00B62890" w:rsidRPr="00BF0829">
        <w:rPr>
          <w:rFonts w:cs="Arial"/>
          <w:color w:val="333333"/>
          <w:lang w:val="fr-CA"/>
        </w:rPr>
        <w:t>.</w:t>
      </w:r>
      <w:r w:rsidRPr="00BF0829">
        <w:rPr>
          <w:rFonts w:cs="Arial"/>
          <w:color w:val="333333"/>
          <w:lang w:val="fr-CA"/>
        </w:rPr>
        <w:t xml:space="preserve">09 en tant que « préparation ». Par conséquent, les produits de pierre de chaux de qualité </w:t>
      </w:r>
      <w:r w:rsidR="00BE129D">
        <w:rPr>
          <w:rFonts w:cs="Arial"/>
          <w:color w:val="333333"/>
          <w:lang w:val="fr-CA"/>
        </w:rPr>
        <w:t>fourragère</w:t>
      </w:r>
      <w:r w:rsidR="00965E55" w:rsidRPr="00BF0829">
        <w:rPr>
          <w:rFonts w:cs="Arial"/>
          <w:color w:val="333333"/>
          <w:lang w:val="fr-CA"/>
        </w:rPr>
        <w:t xml:space="preserve"> </w:t>
      </w:r>
      <w:r w:rsidRPr="00BF0829">
        <w:rPr>
          <w:rFonts w:cs="Arial"/>
          <w:color w:val="333333"/>
          <w:lang w:val="fr-CA"/>
        </w:rPr>
        <w:t xml:space="preserve">sont classés dans la position 25.21 conformément à la Règle générale </w:t>
      </w:r>
      <w:r w:rsidR="00F54F42" w:rsidRPr="00BF0829">
        <w:rPr>
          <w:rFonts w:cs="Arial"/>
          <w:color w:val="333333"/>
          <w:lang w:val="fr-CA"/>
        </w:rPr>
        <w:t>pour l’interprétation</w:t>
      </w:r>
      <w:r w:rsidRPr="00BF0829">
        <w:rPr>
          <w:rFonts w:cs="Arial"/>
          <w:color w:val="333333"/>
          <w:lang w:val="fr-CA"/>
        </w:rPr>
        <w:t xml:space="preserve"> 1.</w:t>
      </w:r>
    </w:p>
    <w:p w14:paraId="6D69FA28" w14:textId="77777777" w:rsidR="00550875" w:rsidRPr="00BE129D" w:rsidRDefault="00550875" w:rsidP="00DD26A7">
      <w:pPr>
        <w:pStyle w:val="Heading4"/>
        <w:rPr>
          <w:lang w:eastAsia="en-CA"/>
        </w:rPr>
      </w:pPr>
      <w:bookmarkStart w:id="9" w:name="_Renseignements_supplémentaires"/>
      <w:bookmarkEnd w:id="9"/>
      <w:r w:rsidRPr="00DD26A7">
        <w:rPr>
          <w:lang w:val="fr-CA"/>
        </w:rPr>
        <w:t>Renseignements supplémentaires</w:t>
      </w:r>
    </w:p>
    <w:p w14:paraId="72FEC6F6" w14:textId="38CB60D6" w:rsidR="005C5EA3" w:rsidRPr="00BF0829" w:rsidRDefault="00156526" w:rsidP="005C5EA3">
      <w:pPr>
        <w:shd w:val="clear" w:color="auto" w:fill="FFFFFF"/>
        <w:spacing w:after="173"/>
        <w:rPr>
          <w:color w:val="333333"/>
          <w:lang w:eastAsia="en-CA"/>
        </w:rPr>
      </w:pPr>
      <w:r w:rsidRPr="00BF0829">
        <w:rPr>
          <w:color w:val="333333"/>
          <w:lang w:eastAsia="en-CA"/>
        </w:rPr>
        <w:t>9</w:t>
      </w:r>
      <w:r w:rsidR="005C5EA3" w:rsidRPr="00BF0829">
        <w:rPr>
          <w:color w:val="333333"/>
          <w:lang w:eastAsia="en-CA"/>
        </w:rPr>
        <w:t xml:space="preserve">. Des lignes directrices concernant la méthodologie utilisée pour </w:t>
      </w:r>
      <w:r w:rsidR="00F54F42" w:rsidRPr="00BF0829">
        <w:rPr>
          <w:color w:val="333333"/>
          <w:lang w:eastAsia="en-CA"/>
        </w:rPr>
        <w:t xml:space="preserve">déterminer le </w:t>
      </w:r>
      <w:r w:rsidR="00BF0829" w:rsidRPr="00BF0829">
        <w:rPr>
          <w:color w:val="333333"/>
          <w:lang w:eastAsia="en-CA"/>
        </w:rPr>
        <w:t>classement</w:t>
      </w:r>
      <w:r w:rsidR="00F54F42" w:rsidRPr="00BF0829">
        <w:rPr>
          <w:color w:val="333333"/>
          <w:lang w:eastAsia="en-CA"/>
        </w:rPr>
        <w:t xml:space="preserve"> d</w:t>
      </w:r>
      <w:r w:rsidR="005C5EA3" w:rsidRPr="00BF0829">
        <w:rPr>
          <w:color w:val="333333"/>
          <w:lang w:eastAsia="en-CA"/>
        </w:rPr>
        <w:t>es marchandises sont fournies dans le </w:t>
      </w:r>
      <w:r w:rsidR="005C5EA3" w:rsidRPr="00BF0829">
        <w:rPr>
          <w:i/>
          <w:iCs/>
          <w:color w:val="333333"/>
          <w:lang w:eastAsia="en-CA"/>
        </w:rPr>
        <w:t>Mémorandum D10-13-1: Classement tarifaire des marchandises</w:t>
      </w:r>
      <w:r w:rsidR="005C5EA3" w:rsidRPr="00BF0829">
        <w:rPr>
          <w:color w:val="333333"/>
          <w:lang w:eastAsia="en-CA"/>
        </w:rPr>
        <w:t>.</w:t>
      </w:r>
    </w:p>
    <w:p w14:paraId="4DC4FF30" w14:textId="6D44D5EA" w:rsidR="00C0484F" w:rsidRPr="00BF0829" w:rsidRDefault="00156526" w:rsidP="00416477">
      <w:r w:rsidRPr="00BF0829">
        <w:rPr>
          <w:color w:val="333333"/>
          <w:lang w:eastAsia="en-CA"/>
        </w:rPr>
        <w:t>10</w:t>
      </w:r>
      <w:r w:rsidR="005C5EA3" w:rsidRPr="00BF0829">
        <w:rPr>
          <w:color w:val="333333"/>
          <w:lang w:eastAsia="en-CA"/>
        </w:rPr>
        <w:t>. Les procédures pour obtenir une décision anticipée en matière de classement tarifaire de marchandises se trouvent dans le </w:t>
      </w:r>
      <w:r w:rsidR="005C5EA3" w:rsidRPr="00BF0829">
        <w:rPr>
          <w:i/>
          <w:iCs/>
          <w:color w:val="333333"/>
          <w:lang w:eastAsia="en-CA"/>
        </w:rPr>
        <w:t>Mémorandum D11-11-3: Décisions anticipées en matière de classement tarifaire</w:t>
      </w:r>
      <w:r w:rsidR="005C5EA3" w:rsidRPr="00BF0829">
        <w:rPr>
          <w:color w:val="333333"/>
          <w:lang w:eastAsia="en-CA"/>
        </w:rPr>
        <w:t>.</w:t>
      </w:r>
      <w:bookmarkStart w:id="10" w:name="_Annexe_[facultatif]"/>
      <w:bookmarkEnd w:id="10"/>
    </w:p>
    <w:p w14:paraId="197EC0A3" w14:textId="74FD5383" w:rsidR="00C0484F" w:rsidRPr="00BF0829" w:rsidRDefault="00C0484F" w:rsidP="00416477">
      <w:pPr>
        <w:pStyle w:val="Heading2"/>
        <w:rPr>
          <w:lang w:val="fr-CA"/>
        </w:rPr>
      </w:pPr>
      <w:bookmarkStart w:id="11" w:name="_Références_[obligatoire]"/>
      <w:bookmarkEnd w:id="11"/>
      <w:r w:rsidRPr="00BF0829">
        <w:rPr>
          <w:lang w:val="fr-CA"/>
        </w:rPr>
        <w:t xml:space="preserve">Références </w:t>
      </w:r>
    </w:p>
    <w:p w14:paraId="2EB0EBC8" w14:textId="77777777" w:rsidR="00C0484F" w:rsidRPr="00BF0829" w:rsidRDefault="00C0484F" w:rsidP="00416477">
      <w:pPr>
        <w:rPr>
          <w:lang w:eastAsia="en-CA"/>
        </w:rPr>
      </w:pPr>
      <w:r w:rsidRPr="00BF0829">
        <w:rPr>
          <w:lang w:eastAsia="en-CA"/>
        </w:rPr>
        <w:t xml:space="preserve">Consultez ces ressources pour obtenir de plus amples renseignements. </w:t>
      </w:r>
    </w:p>
    <w:p w14:paraId="545224D5" w14:textId="77777777" w:rsidR="00C0484F" w:rsidRPr="00BF0829" w:rsidRDefault="00C0484F" w:rsidP="00667172">
      <w:pPr>
        <w:pStyle w:val="Heading3"/>
        <w:rPr>
          <w:lang w:eastAsia="en-CA"/>
        </w:rPr>
      </w:pPr>
      <w:r w:rsidRPr="00BF0829">
        <w:rPr>
          <w:lang w:eastAsia="en-CA"/>
        </w:rPr>
        <w:t xml:space="preserve">Législation applicable </w:t>
      </w:r>
    </w:p>
    <w:p w14:paraId="1821AC55" w14:textId="7DEC0216" w:rsidR="005C5EA3" w:rsidRPr="00BF0829" w:rsidRDefault="005C5EA3" w:rsidP="00416477">
      <w:pPr>
        <w:pStyle w:val="ListParagraph"/>
        <w:numPr>
          <w:ilvl w:val="0"/>
          <w:numId w:val="31"/>
        </w:numPr>
        <w:rPr>
          <w:i/>
          <w:iCs/>
          <w:szCs w:val="24"/>
          <w:lang w:val="fr-CA"/>
        </w:rPr>
      </w:pPr>
      <w:hyperlink r:id="rId9" w:history="1">
        <w:r w:rsidRPr="00BF0829">
          <w:rPr>
            <w:rStyle w:val="Hyperlink"/>
            <w:i/>
            <w:iCs/>
            <w:lang w:val="fr-CA"/>
          </w:rPr>
          <w:t>Tarif des douanes</w:t>
        </w:r>
      </w:hyperlink>
    </w:p>
    <w:p w14:paraId="0FA18F9C" w14:textId="56F8C6C0" w:rsidR="00F120A4" w:rsidRPr="00BF0829" w:rsidRDefault="00F120A4" w:rsidP="00667172">
      <w:pPr>
        <w:pStyle w:val="Heading3"/>
        <w:rPr>
          <w:lang w:eastAsia="en-CA"/>
        </w:rPr>
      </w:pPr>
      <w:r w:rsidRPr="00BF0829">
        <w:rPr>
          <w:lang w:eastAsia="en-CA"/>
        </w:rPr>
        <w:lastRenderedPageBreak/>
        <w:t>Mémorandums D connexes</w:t>
      </w:r>
    </w:p>
    <w:p w14:paraId="52D449FE" w14:textId="49DBD58D" w:rsidR="006006D5" w:rsidRPr="006006D5" w:rsidRDefault="006006D5" w:rsidP="005C5EA3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rPr>
          <w:i/>
          <w:iCs/>
          <w:color w:val="333333"/>
          <w:lang w:eastAsia="en-CA"/>
        </w:rPr>
      </w:pPr>
      <w:hyperlink r:id="rId10" w:history="1">
        <w:r w:rsidRPr="006006D5">
          <w:rPr>
            <w:rStyle w:val="Hyperlink"/>
            <w:i/>
            <w:iCs/>
          </w:rPr>
          <w:t>Mémorandum D10-13-1 : Classement tarifaire des marchandises</w:t>
        </w:r>
      </w:hyperlink>
    </w:p>
    <w:p w14:paraId="23392037" w14:textId="61E76179" w:rsidR="006006D5" w:rsidRPr="006006D5" w:rsidRDefault="006006D5" w:rsidP="005C5EA3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rPr>
          <w:i/>
          <w:iCs/>
          <w:color w:val="333333"/>
          <w:lang w:eastAsia="en-CA"/>
        </w:rPr>
      </w:pPr>
      <w:hyperlink r:id="rId11" w:history="1">
        <w:r w:rsidRPr="006006D5">
          <w:rPr>
            <w:rStyle w:val="Hyperlink"/>
            <w:i/>
            <w:iCs/>
          </w:rPr>
          <w:t>Mémorandum D11-11-3 : Décisions anticipées en matière de classement tarifaire</w:t>
        </w:r>
      </w:hyperlink>
    </w:p>
    <w:p w14:paraId="02878E0F" w14:textId="61523D6F" w:rsidR="0055264C" w:rsidRPr="00BF0829" w:rsidRDefault="00C0484F" w:rsidP="00667172">
      <w:pPr>
        <w:pStyle w:val="Heading3"/>
        <w:rPr>
          <w:lang w:eastAsia="en-CA"/>
        </w:rPr>
      </w:pPr>
      <w:r w:rsidRPr="00BF0829">
        <w:rPr>
          <w:lang w:eastAsia="en-CA"/>
        </w:rPr>
        <w:t>Mémorandum</w:t>
      </w:r>
      <w:r w:rsidR="0055264C" w:rsidRPr="00BF0829">
        <w:rPr>
          <w:lang w:eastAsia="en-CA"/>
        </w:rPr>
        <w:t xml:space="preserve"> </w:t>
      </w:r>
      <w:r w:rsidRPr="00BF0829">
        <w:rPr>
          <w:lang w:eastAsia="en-CA"/>
        </w:rPr>
        <w:t>précédent</w:t>
      </w:r>
    </w:p>
    <w:p w14:paraId="2F4C3F31" w14:textId="5DF9C3A4" w:rsidR="00CC28A0" w:rsidRPr="00BF0829" w:rsidRDefault="00CC28A0" w:rsidP="00CC28A0">
      <w:pPr>
        <w:rPr>
          <w:lang w:eastAsia="en-CA"/>
        </w:rPr>
      </w:pPr>
      <w:r w:rsidRPr="00BF0829">
        <w:rPr>
          <w:i/>
          <w:iCs/>
          <w:lang w:eastAsia="en-CA"/>
        </w:rPr>
        <w:t>Mémorandum D10-14-33 : Classement tarifaire de la pierre à chaux des types utilisés pour les aliments du bétail</w:t>
      </w:r>
      <w:r w:rsidRPr="00BF0829">
        <w:rPr>
          <w:lang w:eastAsia="en-CA"/>
        </w:rPr>
        <w:t xml:space="preserve"> en date du 24 avril 2014.</w:t>
      </w:r>
    </w:p>
    <w:p w14:paraId="2B1B5149" w14:textId="77777777" w:rsidR="00C0484F" w:rsidRPr="00BF0829" w:rsidRDefault="00C0484F" w:rsidP="00667172">
      <w:pPr>
        <w:pStyle w:val="Heading3"/>
      </w:pPr>
      <w:r w:rsidRPr="00BF0829">
        <w:t xml:space="preserve">Bureau de diffusion </w:t>
      </w:r>
    </w:p>
    <w:p w14:paraId="62777E59" w14:textId="7B6EBAA4" w:rsidR="005C5EA3" w:rsidRPr="00BF0829" w:rsidRDefault="005C5EA3" w:rsidP="005C5EA3">
      <w:r w:rsidRPr="00BF0829">
        <w:rPr>
          <w:color w:val="333333"/>
          <w:shd w:val="clear" w:color="auto" w:fill="FFFFFF"/>
        </w:rPr>
        <w:t>Division du classement tarifaire, de l'origine et de l'évaluation</w:t>
      </w:r>
      <w:r w:rsidRPr="00BF0829">
        <w:rPr>
          <w:color w:val="333333"/>
        </w:rPr>
        <w:br/>
      </w:r>
      <w:r w:rsidR="00CC28A0" w:rsidRPr="00BF0829">
        <w:rPr>
          <w:color w:val="333333"/>
          <w:shd w:val="clear" w:color="auto" w:fill="FFFFFF"/>
        </w:rPr>
        <w:t>Direction des programmes liés aux échanges commerciaux</w:t>
      </w:r>
      <w:r w:rsidRPr="00BF0829">
        <w:rPr>
          <w:color w:val="333333"/>
        </w:rPr>
        <w:br/>
      </w:r>
      <w:r w:rsidRPr="00BF0829">
        <w:rPr>
          <w:color w:val="333333"/>
          <w:shd w:val="clear" w:color="auto" w:fill="FFFFFF"/>
        </w:rPr>
        <w:t>Direction générale des échanges commerciaux</w:t>
      </w:r>
    </w:p>
    <w:p w14:paraId="3B7351EA" w14:textId="40E76E1F" w:rsidR="00C0484F" w:rsidRPr="00BF0829" w:rsidRDefault="00C0484F" w:rsidP="00416477">
      <w:pPr>
        <w:pStyle w:val="Heading2"/>
        <w:rPr>
          <w:lang w:val="fr-CA"/>
        </w:rPr>
      </w:pPr>
      <w:bookmarkStart w:id="12" w:name="_Communiquer_avec_nous"/>
      <w:bookmarkEnd w:id="12"/>
      <w:r w:rsidRPr="00BF0829">
        <w:rPr>
          <w:lang w:val="fr-CA"/>
        </w:rPr>
        <w:t>Communiquer avec nous</w:t>
      </w:r>
    </w:p>
    <w:p w14:paraId="542AF9B9" w14:textId="77777777" w:rsidR="00C0484F" w:rsidRPr="00BF0829" w:rsidRDefault="00C0484F" w:rsidP="00416477">
      <w:pPr>
        <w:rPr>
          <w:b/>
        </w:rPr>
      </w:pPr>
      <w:hyperlink r:id="rId12" w:history="1">
        <w:r w:rsidRPr="00BF0829">
          <w:rPr>
            <w:rStyle w:val="Hyperlink"/>
            <w:rFonts w:eastAsiaTheme="minorHAnsi"/>
          </w:rPr>
          <w:t>Communiquer avec le service d'information sur la frontière</w:t>
        </w:r>
      </w:hyperlink>
    </w:p>
    <w:p w14:paraId="0FBB1743" w14:textId="6AE6D27F" w:rsidR="00C0484F" w:rsidRPr="00BF0829" w:rsidRDefault="00C0484F" w:rsidP="00416477">
      <w:pPr>
        <w:pStyle w:val="Heading2"/>
        <w:rPr>
          <w:lang w:val="fr-CA"/>
        </w:rPr>
      </w:pPr>
      <w:bookmarkStart w:id="13" w:name="_Liens_connexes"/>
      <w:bookmarkEnd w:id="13"/>
      <w:r w:rsidRPr="00BF0829">
        <w:rPr>
          <w:lang w:val="fr-CA"/>
        </w:rPr>
        <w:t xml:space="preserve">Liens connexes </w:t>
      </w:r>
    </w:p>
    <w:p w14:paraId="0AE27AD1" w14:textId="2E2C8C21" w:rsidR="00936913" w:rsidRPr="00DD26A7" w:rsidRDefault="00387FE1" w:rsidP="007343EE">
      <w:pPr>
        <w:pStyle w:val="ListParagraph"/>
        <w:numPr>
          <w:ilvl w:val="0"/>
          <w:numId w:val="36"/>
        </w:numPr>
        <w:rPr>
          <w:szCs w:val="24"/>
          <w:lang w:val="fr-CA"/>
        </w:rPr>
      </w:pPr>
      <w:hyperlink r:id="rId13" w:history="1">
        <w:r w:rsidRPr="00DD26A7">
          <w:rPr>
            <w:rStyle w:val="Hyperlink"/>
            <w:lang w:val="fr-CA"/>
          </w:rPr>
          <w:t>Tribunal canadien du commerce extérieur</w:t>
        </w:r>
      </w:hyperlink>
    </w:p>
    <w:p w14:paraId="391A833D" w14:textId="4A292DD8" w:rsidR="00F54F42" w:rsidRPr="00BF0829" w:rsidRDefault="00F54F42" w:rsidP="00F54F42">
      <w:pPr>
        <w:pStyle w:val="ListParagraph"/>
        <w:numPr>
          <w:ilvl w:val="0"/>
          <w:numId w:val="36"/>
        </w:numPr>
        <w:rPr>
          <w:szCs w:val="24"/>
          <w:lang w:val="fr-CA"/>
        </w:rPr>
      </w:pPr>
      <w:hyperlink r:id="rId14" w:history="1">
        <w:r w:rsidRPr="00BF0829">
          <w:rPr>
            <w:rStyle w:val="Hyperlink"/>
            <w:szCs w:val="24"/>
            <w:lang w:val="fr-CA"/>
          </w:rPr>
          <w:t>Tarif des douanes canadien</w:t>
        </w:r>
      </w:hyperlink>
    </w:p>
    <w:p w14:paraId="49C929B6" w14:textId="77777777" w:rsidR="00E4698C" w:rsidRPr="00BF0829" w:rsidRDefault="00E4698C" w:rsidP="00E4698C">
      <w:pPr>
        <w:pStyle w:val="ListParagraph"/>
        <w:numPr>
          <w:ilvl w:val="0"/>
          <w:numId w:val="36"/>
        </w:numPr>
        <w:rPr>
          <w:szCs w:val="24"/>
          <w:lang w:val="fr-CA"/>
        </w:rPr>
      </w:pPr>
      <w:hyperlink r:id="rId15" w:history="1">
        <w:r w:rsidRPr="00DD26A7">
          <w:rPr>
            <w:rStyle w:val="Hyperlink"/>
            <w:lang w:val="fr-CA"/>
          </w:rPr>
          <w:t>Manuel sur le classement tarifaire des importations canadiennes : Règles générales pour l’interprétation du Système harmonisé</w:t>
        </w:r>
      </w:hyperlink>
    </w:p>
    <w:p w14:paraId="474EB412" w14:textId="77777777" w:rsidR="00F54F42" w:rsidRPr="00DD26A7" w:rsidRDefault="00F54F42" w:rsidP="00DD26A7"/>
    <w:sectPr w:rsidR="00F54F42" w:rsidRPr="00DD26A7" w:rsidSect="00D8256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858" w:right="1440" w:bottom="1858" w:left="1530" w:header="562" w:footer="5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72EDA" w14:textId="77777777" w:rsidR="00421D6A" w:rsidRDefault="00421D6A" w:rsidP="00416477">
      <w:r>
        <w:separator/>
      </w:r>
    </w:p>
  </w:endnote>
  <w:endnote w:type="continuationSeparator" w:id="0">
    <w:p w14:paraId="5113FE69" w14:textId="77777777" w:rsidR="00421D6A" w:rsidRDefault="00421D6A" w:rsidP="00416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2367E" w14:textId="77777777" w:rsidR="0058429D" w:rsidRDefault="005842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1955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A3ED39" w14:textId="644CB270" w:rsidR="00165BCF" w:rsidRDefault="00165BCF" w:rsidP="0041647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73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D065DE" w14:textId="77777777" w:rsidR="00075137" w:rsidRPr="006E0AD7" w:rsidRDefault="00075137" w:rsidP="004164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2957" w14:textId="77777777" w:rsidR="00075137" w:rsidRPr="00130CCA" w:rsidRDefault="00130CCA" w:rsidP="00416477">
    <w:pPr>
      <w:pStyle w:val="Footer"/>
    </w:pPr>
    <w:r>
      <w:rPr>
        <w:noProof/>
        <w:lang w:eastAsia="fr-CA"/>
      </w:rPr>
      <w:drawing>
        <wp:inline distT="0" distB="0" distL="0" distR="0" wp14:anchorId="13AB1EB0" wp14:editId="26C4F00D">
          <wp:extent cx="1078992" cy="265176"/>
          <wp:effectExtent l="0" t="0" r="6985" b="1905"/>
          <wp:docPr id="6" name="Picture 6" descr="G:\CD-DC\ISCD-DCSI\MCS (under construction)\C&amp;Tech Services\Corporate_Identity\Corporate ID current (2013 )\CorporateTemplates\Letterhead\Lower resolution\wordmar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CD-DC\ISCD-DCSI\MCS (under construction)\C&amp;Tech Services\Corporate_Identity\Corporate ID current (2013 )\CorporateTemplates\Letterhead\Lower resolution\wordmar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992" cy="2651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9901F" w14:textId="77777777" w:rsidR="00421D6A" w:rsidRDefault="00421D6A" w:rsidP="00416477">
      <w:r>
        <w:separator/>
      </w:r>
    </w:p>
  </w:footnote>
  <w:footnote w:type="continuationSeparator" w:id="0">
    <w:p w14:paraId="3191D982" w14:textId="77777777" w:rsidR="00421D6A" w:rsidRDefault="00421D6A" w:rsidP="00416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70771" w14:textId="30ADE173" w:rsidR="00075137" w:rsidRDefault="00000000" w:rsidP="00416477">
    <w:pPr>
      <w:pStyle w:val="Header"/>
      <w:rPr>
        <w:rStyle w:val="PageNumber"/>
      </w:rPr>
    </w:pPr>
    <w:r>
      <w:rPr>
        <w:noProof/>
      </w:rPr>
      <w:pict w14:anchorId="3CF57C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4579" o:spid="_x0000_s1026" type="#_x0000_t136" style="position:absolute;margin-left:0;margin-top:0;width:508.3pt;height:145.2pt;rotation:315;z-index:-251655168;mso-position-horizontal:center;mso-position-horizontal-relative:margin;mso-position-vertical:center;mso-position-vertical-relative:margin" o:allowincell="f" fillcolor="silver" stroked="f">
          <v:textpath style="font-family:&quot;Arial&quot;;font-size:1pt" string="EBAUCHE"/>
          <w10:wrap anchorx="margin" anchory="margin"/>
        </v:shape>
      </w:pict>
    </w:r>
    <w:r w:rsidR="00075137">
      <w:rPr>
        <w:rStyle w:val="PageNumber"/>
      </w:rPr>
      <w:fldChar w:fldCharType="begin"/>
    </w:r>
    <w:r w:rsidR="00075137">
      <w:rPr>
        <w:rStyle w:val="PageNumber"/>
      </w:rPr>
      <w:instrText xml:space="preserve">PAGE  </w:instrText>
    </w:r>
    <w:r w:rsidR="00075137">
      <w:rPr>
        <w:rStyle w:val="PageNumber"/>
      </w:rPr>
      <w:fldChar w:fldCharType="end"/>
    </w:r>
  </w:p>
  <w:p w14:paraId="5835645F" w14:textId="77777777" w:rsidR="00075137" w:rsidRDefault="00075137" w:rsidP="004164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9EB5" w14:textId="64A6D282" w:rsidR="00075137" w:rsidRDefault="00000000" w:rsidP="00416477">
    <w:pPr>
      <w:pStyle w:val="Header"/>
    </w:pPr>
    <w:r>
      <w:rPr>
        <w:noProof/>
      </w:rPr>
      <w:pict w14:anchorId="7B396A1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4580" o:spid="_x0000_s1027" type="#_x0000_t136" style="position:absolute;margin-left:0;margin-top:0;width:508.3pt;height:145.2pt;rotation:315;z-index:-251653120;mso-position-horizontal:center;mso-position-horizontal-relative:margin;mso-position-vertical:center;mso-position-vertical-relative:margin" o:allowincell="f" fillcolor="silver" stroked="f">
          <v:textpath style="font-family:&quot;Arial&quot;;font-size:1pt" string="EBAUCH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0C658" w14:textId="693D903F" w:rsidR="00075137" w:rsidRPr="002F7FCC" w:rsidRDefault="00000000" w:rsidP="00416477">
    <w:pPr>
      <w:pStyle w:val="Header"/>
    </w:pPr>
    <w:r>
      <w:rPr>
        <w:noProof/>
      </w:rPr>
      <w:pict w14:anchorId="69DD48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4578" o:spid="_x0000_s1025" type="#_x0000_t136" style="position:absolute;margin-left:0;margin-top:0;width:508.3pt;height:145.2pt;rotation:315;z-index:-251657216;mso-position-horizontal:center;mso-position-horizontal-relative:margin;mso-position-vertical:center;mso-position-vertical-relative:margin" o:allowincell="f" fillcolor="silver" stroked="f">
          <v:textpath style="font-family:&quot;Arial&quot;;font-size:1pt" string="EBAUCHE"/>
          <w10:wrap anchorx="margin" anchory="margin"/>
        </v:shape>
      </w:pict>
    </w:r>
    <w:r w:rsidR="00130CCA">
      <w:rPr>
        <w:noProof/>
        <w:lang w:eastAsia="fr-CA"/>
      </w:rPr>
      <w:drawing>
        <wp:inline distT="0" distB="0" distL="0" distR="0" wp14:anchorId="795C61C2" wp14:editId="681F4BC8">
          <wp:extent cx="2441448" cy="219456"/>
          <wp:effectExtent l="0" t="0" r="0" b="9525"/>
          <wp:docPr id="3" name="Picture 3" descr="G:\CD-DC\ISCD-DCSI\MCS (under construction)\C&amp;Tech Services\Corporate_Identity\Corporate ID current (2013 )\CorporateTemplates\Letterhead\Lower resolution\F 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CD-DC\ISCD-DCSI\MCS (under construction)\C&amp;Tech Services\Corporate_Identity\Corporate ID current (2013 )\CorporateTemplates\Letterhead\Lower resolution\F top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1448" cy="219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4EDA"/>
    <w:multiLevelType w:val="hybridMultilevel"/>
    <w:tmpl w:val="7906504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54C6B45"/>
    <w:multiLevelType w:val="multilevel"/>
    <w:tmpl w:val="F92EDE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5BF0EC9"/>
    <w:multiLevelType w:val="hybridMultilevel"/>
    <w:tmpl w:val="F0E4E6B8"/>
    <w:lvl w:ilvl="0" w:tplc="F0466EE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62093"/>
    <w:multiLevelType w:val="hybridMultilevel"/>
    <w:tmpl w:val="B7ACFAA6"/>
    <w:lvl w:ilvl="0" w:tplc="D964562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A2852"/>
    <w:multiLevelType w:val="hybridMultilevel"/>
    <w:tmpl w:val="FB8008B4"/>
    <w:lvl w:ilvl="0" w:tplc="D964562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6232BFE"/>
    <w:multiLevelType w:val="multilevel"/>
    <w:tmpl w:val="D5B89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4D369C"/>
    <w:multiLevelType w:val="hybridMultilevel"/>
    <w:tmpl w:val="8A9E6BE2"/>
    <w:lvl w:ilvl="0" w:tplc="F0466EE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8A5660"/>
    <w:multiLevelType w:val="hybridMultilevel"/>
    <w:tmpl w:val="D4623C8C"/>
    <w:lvl w:ilvl="0" w:tplc="25D47A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A0E7B86"/>
    <w:multiLevelType w:val="hybridMultilevel"/>
    <w:tmpl w:val="0C687196"/>
    <w:lvl w:ilvl="0" w:tplc="E0CCA8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C53636"/>
    <w:multiLevelType w:val="hybridMultilevel"/>
    <w:tmpl w:val="04B60AB8"/>
    <w:lvl w:ilvl="0" w:tplc="10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0BD77994"/>
    <w:multiLevelType w:val="hybridMultilevel"/>
    <w:tmpl w:val="0A0A975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8577CB"/>
    <w:multiLevelType w:val="multilevel"/>
    <w:tmpl w:val="8A9E6BE2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8C0D13"/>
    <w:multiLevelType w:val="hybridMultilevel"/>
    <w:tmpl w:val="7E1ECF84"/>
    <w:lvl w:ilvl="0" w:tplc="F0466EE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C97CAD"/>
    <w:multiLevelType w:val="hybridMultilevel"/>
    <w:tmpl w:val="AF5E4FAE"/>
    <w:lvl w:ilvl="0" w:tplc="67127F9E">
      <w:start w:val="1"/>
      <w:numFmt w:val="bullet"/>
      <w:lvlText w:val="￭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F51E8"/>
    <w:multiLevelType w:val="hybridMultilevel"/>
    <w:tmpl w:val="DB1ECA10"/>
    <w:lvl w:ilvl="0" w:tplc="D964562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5" w15:restartNumberingAfterBreak="0">
    <w:nsid w:val="109A05C7"/>
    <w:multiLevelType w:val="hybridMultilevel"/>
    <w:tmpl w:val="AF26DC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2D7DFE"/>
    <w:multiLevelType w:val="hybridMultilevel"/>
    <w:tmpl w:val="AF306E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16433B"/>
    <w:multiLevelType w:val="hybridMultilevel"/>
    <w:tmpl w:val="E174B3EC"/>
    <w:lvl w:ilvl="0" w:tplc="67127F9E">
      <w:start w:val="1"/>
      <w:numFmt w:val="bullet"/>
      <w:lvlText w:val="￭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72036E"/>
    <w:multiLevelType w:val="hybridMultilevel"/>
    <w:tmpl w:val="A18E6E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D431BE"/>
    <w:multiLevelType w:val="hybridMultilevel"/>
    <w:tmpl w:val="02FA75DE"/>
    <w:lvl w:ilvl="0" w:tplc="ECD652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8A77BBC"/>
    <w:multiLevelType w:val="hybridMultilevel"/>
    <w:tmpl w:val="7E5851FA"/>
    <w:lvl w:ilvl="0" w:tplc="67127F9E">
      <w:start w:val="1"/>
      <w:numFmt w:val="bullet"/>
      <w:lvlText w:val="￭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E210B0"/>
    <w:multiLevelType w:val="hybridMultilevel"/>
    <w:tmpl w:val="D6EE2008"/>
    <w:lvl w:ilvl="0" w:tplc="F0466EE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50549B"/>
    <w:multiLevelType w:val="hybridMultilevel"/>
    <w:tmpl w:val="1A02384C"/>
    <w:lvl w:ilvl="0" w:tplc="67127F9E">
      <w:start w:val="1"/>
      <w:numFmt w:val="bullet"/>
      <w:lvlText w:val="￭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404951"/>
    <w:multiLevelType w:val="hybridMultilevel"/>
    <w:tmpl w:val="38465540"/>
    <w:lvl w:ilvl="0" w:tplc="D964562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7F10D5"/>
    <w:multiLevelType w:val="hybridMultilevel"/>
    <w:tmpl w:val="F92EDE4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3E0C0564"/>
    <w:multiLevelType w:val="hybridMultilevel"/>
    <w:tmpl w:val="D4BA70FE"/>
    <w:lvl w:ilvl="0" w:tplc="F0466EE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811CF2"/>
    <w:multiLevelType w:val="hybridMultilevel"/>
    <w:tmpl w:val="3FC8265C"/>
    <w:lvl w:ilvl="0" w:tplc="E0CCA8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E6789D"/>
    <w:multiLevelType w:val="hybridMultilevel"/>
    <w:tmpl w:val="1CBE23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C647F4"/>
    <w:multiLevelType w:val="hybridMultilevel"/>
    <w:tmpl w:val="1C309DEE"/>
    <w:lvl w:ilvl="0" w:tplc="F0466EE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597E3E"/>
    <w:multiLevelType w:val="multilevel"/>
    <w:tmpl w:val="451A6AC4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995A94"/>
    <w:multiLevelType w:val="hybridMultilevel"/>
    <w:tmpl w:val="590C9C9A"/>
    <w:lvl w:ilvl="0" w:tplc="E0CCA8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63143D"/>
    <w:multiLevelType w:val="hybridMultilevel"/>
    <w:tmpl w:val="2014E9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322107"/>
    <w:multiLevelType w:val="hybridMultilevel"/>
    <w:tmpl w:val="61DCC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7C0DF0"/>
    <w:multiLevelType w:val="hybridMultilevel"/>
    <w:tmpl w:val="4B207546"/>
    <w:lvl w:ilvl="0" w:tplc="4118B15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C66FB5"/>
    <w:multiLevelType w:val="hybridMultilevel"/>
    <w:tmpl w:val="A3043A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BC4A20"/>
    <w:multiLevelType w:val="hybridMultilevel"/>
    <w:tmpl w:val="1FDA3F6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644B6F"/>
    <w:multiLevelType w:val="hybridMultilevel"/>
    <w:tmpl w:val="32C4DDB6"/>
    <w:lvl w:ilvl="0" w:tplc="E0CCA8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DC634B"/>
    <w:multiLevelType w:val="hybridMultilevel"/>
    <w:tmpl w:val="0270F978"/>
    <w:lvl w:ilvl="0" w:tplc="28662D8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17D36"/>
    <w:multiLevelType w:val="multilevel"/>
    <w:tmpl w:val="B688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DD7D94"/>
    <w:multiLevelType w:val="multilevel"/>
    <w:tmpl w:val="F538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DD306E"/>
    <w:multiLevelType w:val="multilevel"/>
    <w:tmpl w:val="8A9E6BE2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3751831">
    <w:abstractNumId w:val="21"/>
  </w:num>
  <w:num w:numId="2" w16cid:durableId="1416628466">
    <w:abstractNumId w:val="20"/>
  </w:num>
  <w:num w:numId="3" w16cid:durableId="105084404">
    <w:abstractNumId w:val="25"/>
  </w:num>
  <w:num w:numId="4" w16cid:durableId="809131242">
    <w:abstractNumId w:val="22"/>
  </w:num>
  <w:num w:numId="5" w16cid:durableId="826016828">
    <w:abstractNumId w:val="2"/>
  </w:num>
  <w:num w:numId="6" w16cid:durableId="1040782708">
    <w:abstractNumId w:val="28"/>
  </w:num>
  <w:num w:numId="7" w16cid:durableId="792599543">
    <w:abstractNumId w:val="17"/>
  </w:num>
  <w:num w:numId="8" w16cid:durableId="464852988">
    <w:abstractNumId w:val="6"/>
  </w:num>
  <w:num w:numId="9" w16cid:durableId="2025859920">
    <w:abstractNumId w:val="13"/>
  </w:num>
  <w:num w:numId="10" w16cid:durableId="781923209">
    <w:abstractNumId w:val="12"/>
  </w:num>
  <w:num w:numId="11" w16cid:durableId="1993364148">
    <w:abstractNumId w:val="24"/>
  </w:num>
  <w:num w:numId="12" w16cid:durableId="1026179765">
    <w:abstractNumId w:val="1"/>
  </w:num>
  <w:num w:numId="13" w16cid:durableId="1202090641">
    <w:abstractNumId w:val="19"/>
  </w:num>
  <w:num w:numId="14" w16cid:durableId="1223558584">
    <w:abstractNumId w:val="4"/>
  </w:num>
  <w:num w:numId="15" w16cid:durableId="1068578710">
    <w:abstractNumId w:val="37"/>
  </w:num>
  <w:num w:numId="16" w16cid:durableId="561907064">
    <w:abstractNumId w:val="29"/>
  </w:num>
  <w:num w:numId="17" w16cid:durableId="1501850143">
    <w:abstractNumId w:val="11"/>
  </w:num>
  <w:num w:numId="18" w16cid:durableId="601425186">
    <w:abstractNumId w:val="3"/>
  </w:num>
  <w:num w:numId="19" w16cid:durableId="544562611">
    <w:abstractNumId w:val="40"/>
  </w:num>
  <w:num w:numId="20" w16cid:durableId="2001762058">
    <w:abstractNumId w:val="23"/>
  </w:num>
  <w:num w:numId="21" w16cid:durableId="2114935086">
    <w:abstractNumId w:val="14"/>
  </w:num>
  <w:num w:numId="22" w16cid:durableId="641543531">
    <w:abstractNumId w:val="0"/>
  </w:num>
  <w:num w:numId="23" w16cid:durableId="763652310">
    <w:abstractNumId w:val="8"/>
  </w:num>
  <w:num w:numId="24" w16cid:durableId="1140924661">
    <w:abstractNumId w:val="26"/>
  </w:num>
  <w:num w:numId="25" w16cid:durableId="1130048088">
    <w:abstractNumId w:val="30"/>
  </w:num>
  <w:num w:numId="26" w16cid:durableId="1425343287">
    <w:abstractNumId w:val="36"/>
  </w:num>
  <w:num w:numId="27" w16cid:durableId="1004818988">
    <w:abstractNumId w:val="7"/>
  </w:num>
  <w:num w:numId="28" w16cid:durableId="1917469275">
    <w:abstractNumId w:val="32"/>
  </w:num>
  <w:num w:numId="29" w16cid:durableId="1971085627">
    <w:abstractNumId w:val="18"/>
  </w:num>
  <w:num w:numId="30" w16cid:durableId="70544508">
    <w:abstractNumId w:val="9"/>
  </w:num>
  <w:num w:numId="31" w16cid:durableId="15541478">
    <w:abstractNumId w:val="35"/>
  </w:num>
  <w:num w:numId="32" w16cid:durableId="409893465">
    <w:abstractNumId w:val="31"/>
  </w:num>
  <w:num w:numId="33" w16cid:durableId="1967808016">
    <w:abstractNumId w:val="33"/>
  </w:num>
  <w:num w:numId="34" w16cid:durableId="1238903417">
    <w:abstractNumId w:val="38"/>
  </w:num>
  <w:num w:numId="35" w16cid:durableId="209458738">
    <w:abstractNumId w:val="5"/>
  </w:num>
  <w:num w:numId="36" w16cid:durableId="1591307074">
    <w:abstractNumId w:val="16"/>
  </w:num>
  <w:num w:numId="37" w16cid:durableId="1236237120">
    <w:abstractNumId w:val="39"/>
  </w:num>
  <w:num w:numId="38" w16cid:durableId="1619683100">
    <w:abstractNumId w:val="34"/>
  </w:num>
  <w:num w:numId="39" w16cid:durableId="1432043337">
    <w:abstractNumId w:val="10"/>
  </w:num>
  <w:num w:numId="40" w16cid:durableId="288558692">
    <w:abstractNumId w:val="27"/>
  </w:num>
  <w:num w:numId="41" w16cid:durableId="1736396126">
    <w:abstractNumId w:val="16"/>
  </w:num>
  <w:num w:numId="42" w16cid:durableId="6740690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enforcement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607"/>
    <w:rsid w:val="000038C7"/>
    <w:rsid w:val="00006763"/>
    <w:rsid w:val="00010859"/>
    <w:rsid w:val="0001432D"/>
    <w:rsid w:val="000306B3"/>
    <w:rsid w:val="000507B9"/>
    <w:rsid w:val="00062999"/>
    <w:rsid w:val="000713A4"/>
    <w:rsid w:val="00071B11"/>
    <w:rsid w:val="00075137"/>
    <w:rsid w:val="00087354"/>
    <w:rsid w:val="00094DF8"/>
    <w:rsid w:val="000950BE"/>
    <w:rsid w:val="0009550E"/>
    <w:rsid w:val="00097938"/>
    <w:rsid w:val="000A006C"/>
    <w:rsid w:val="000A6C2D"/>
    <w:rsid w:val="000A7BB6"/>
    <w:rsid w:val="000B4B79"/>
    <w:rsid w:val="000C0120"/>
    <w:rsid w:val="000D2E01"/>
    <w:rsid w:val="000D5EF1"/>
    <w:rsid w:val="000D74C7"/>
    <w:rsid w:val="000F6777"/>
    <w:rsid w:val="000F7412"/>
    <w:rsid w:val="001116CB"/>
    <w:rsid w:val="00112F41"/>
    <w:rsid w:val="00115CCF"/>
    <w:rsid w:val="00123062"/>
    <w:rsid w:val="00125B14"/>
    <w:rsid w:val="0012763B"/>
    <w:rsid w:val="00130CCA"/>
    <w:rsid w:val="0013546E"/>
    <w:rsid w:val="00142962"/>
    <w:rsid w:val="00156526"/>
    <w:rsid w:val="001631D8"/>
    <w:rsid w:val="00165BCF"/>
    <w:rsid w:val="00166854"/>
    <w:rsid w:val="00174CDE"/>
    <w:rsid w:val="00176F45"/>
    <w:rsid w:val="00192A97"/>
    <w:rsid w:val="00193135"/>
    <w:rsid w:val="0019397D"/>
    <w:rsid w:val="00194A4F"/>
    <w:rsid w:val="0019622E"/>
    <w:rsid w:val="001C1DE4"/>
    <w:rsid w:val="001D0E83"/>
    <w:rsid w:val="001D1793"/>
    <w:rsid w:val="001D1D42"/>
    <w:rsid w:val="00221930"/>
    <w:rsid w:val="00227D48"/>
    <w:rsid w:val="002401E5"/>
    <w:rsid w:val="00244961"/>
    <w:rsid w:val="00247E9D"/>
    <w:rsid w:val="00257709"/>
    <w:rsid w:val="0026468F"/>
    <w:rsid w:val="0026571F"/>
    <w:rsid w:val="002707F4"/>
    <w:rsid w:val="00290591"/>
    <w:rsid w:val="00293675"/>
    <w:rsid w:val="0029665F"/>
    <w:rsid w:val="00296856"/>
    <w:rsid w:val="002A4992"/>
    <w:rsid w:val="002B3EEB"/>
    <w:rsid w:val="002C6D93"/>
    <w:rsid w:val="002F7FCC"/>
    <w:rsid w:val="00306513"/>
    <w:rsid w:val="00311D0D"/>
    <w:rsid w:val="00313E23"/>
    <w:rsid w:val="0032120D"/>
    <w:rsid w:val="0032746E"/>
    <w:rsid w:val="0033202A"/>
    <w:rsid w:val="003348FB"/>
    <w:rsid w:val="00335D8D"/>
    <w:rsid w:val="00341D15"/>
    <w:rsid w:val="00344570"/>
    <w:rsid w:val="00344F5E"/>
    <w:rsid w:val="00353823"/>
    <w:rsid w:val="00353CBA"/>
    <w:rsid w:val="00360ADF"/>
    <w:rsid w:val="00365CBB"/>
    <w:rsid w:val="003662C4"/>
    <w:rsid w:val="00367290"/>
    <w:rsid w:val="00372BA0"/>
    <w:rsid w:val="003740C5"/>
    <w:rsid w:val="0037513F"/>
    <w:rsid w:val="003800B7"/>
    <w:rsid w:val="00387FE1"/>
    <w:rsid w:val="003972C1"/>
    <w:rsid w:val="003A0FD6"/>
    <w:rsid w:val="003A3AAB"/>
    <w:rsid w:val="003E4981"/>
    <w:rsid w:val="003E73F8"/>
    <w:rsid w:val="00401FD6"/>
    <w:rsid w:val="004049F9"/>
    <w:rsid w:val="00416477"/>
    <w:rsid w:val="00421D6A"/>
    <w:rsid w:val="004241A9"/>
    <w:rsid w:val="00427240"/>
    <w:rsid w:val="0043018A"/>
    <w:rsid w:val="0043252C"/>
    <w:rsid w:val="00443C45"/>
    <w:rsid w:val="0044792D"/>
    <w:rsid w:val="00447C54"/>
    <w:rsid w:val="00451E45"/>
    <w:rsid w:val="0045395E"/>
    <w:rsid w:val="00454643"/>
    <w:rsid w:val="00456305"/>
    <w:rsid w:val="004651F4"/>
    <w:rsid w:val="004703A0"/>
    <w:rsid w:val="00471E86"/>
    <w:rsid w:val="00484157"/>
    <w:rsid w:val="00492669"/>
    <w:rsid w:val="004A1074"/>
    <w:rsid w:val="004A60BB"/>
    <w:rsid w:val="004A6103"/>
    <w:rsid w:val="004B4AB6"/>
    <w:rsid w:val="004B665F"/>
    <w:rsid w:val="004D58FB"/>
    <w:rsid w:val="004D73B5"/>
    <w:rsid w:val="004F459C"/>
    <w:rsid w:val="00503658"/>
    <w:rsid w:val="0051795A"/>
    <w:rsid w:val="0051798C"/>
    <w:rsid w:val="005201CF"/>
    <w:rsid w:val="00536438"/>
    <w:rsid w:val="00543204"/>
    <w:rsid w:val="00543C57"/>
    <w:rsid w:val="00550875"/>
    <w:rsid w:val="0055264C"/>
    <w:rsid w:val="005607FA"/>
    <w:rsid w:val="00565190"/>
    <w:rsid w:val="00572B06"/>
    <w:rsid w:val="00583434"/>
    <w:rsid w:val="0058429D"/>
    <w:rsid w:val="00585655"/>
    <w:rsid w:val="005965EF"/>
    <w:rsid w:val="005A00B1"/>
    <w:rsid w:val="005A1432"/>
    <w:rsid w:val="005C5EA3"/>
    <w:rsid w:val="005D2E57"/>
    <w:rsid w:val="005D3E2C"/>
    <w:rsid w:val="005F6CDD"/>
    <w:rsid w:val="006006D5"/>
    <w:rsid w:val="0062001C"/>
    <w:rsid w:val="00621B6B"/>
    <w:rsid w:val="00627136"/>
    <w:rsid w:val="00656D94"/>
    <w:rsid w:val="0066109E"/>
    <w:rsid w:val="00662206"/>
    <w:rsid w:val="00667172"/>
    <w:rsid w:val="006701D5"/>
    <w:rsid w:val="00673050"/>
    <w:rsid w:val="006759EE"/>
    <w:rsid w:val="00677853"/>
    <w:rsid w:val="00686FDA"/>
    <w:rsid w:val="00692CE6"/>
    <w:rsid w:val="00693EA9"/>
    <w:rsid w:val="00696E77"/>
    <w:rsid w:val="006A067F"/>
    <w:rsid w:val="006A0B49"/>
    <w:rsid w:val="006A5D06"/>
    <w:rsid w:val="006B431D"/>
    <w:rsid w:val="006B729C"/>
    <w:rsid w:val="006D09A6"/>
    <w:rsid w:val="006D7ACB"/>
    <w:rsid w:val="006E0AD7"/>
    <w:rsid w:val="006E0B7C"/>
    <w:rsid w:val="006E3DFF"/>
    <w:rsid w:val="006F2B2A"/>
    <w:rsid w:val="006F52B6"/>
    <w:rsid w:val="0071165C"/>
    <w:rsid w:val="00715672"/>
    <w:rsid w:val="007163FC"/>
    <w:rsid w:val="00716E70"/>
    <w:rsid w:val="00723F14"/>
    <w:rsid w:val="007378F7"/>
    <w:rsid w:val="00750E5D"/>
    <w:rsid w:val="00754F13"/>
    <w:rsid w:val="00764CEB"/>
    <w:rsid w:val="007706C0"/>
    <w:rsid w:val="00780C11"/>
    <w:rsid w:val="0078569C"/>
    <w:rsid w:val="00793934"/>
    <w:rsid w:val="007A1AC5"/>
    <w:rsid w:val="007A216B"/>
    <w:rsid w:val="007A45BE"/>
    <w:rsid w:val="007B707E"/>
    <w:rsid w:val="007C0AFF"/>
    <w:rsid w:val="007D24B5"/>
    <w:rsid w:val="007D7679"/>
    <w:rsid w:val="007E21D8"/>
    <w:rsid w:val="007F7857"/>
    <w:rsid w:val="007F7A17"/>
    <w:rsid w:val="008029D3"/>
    <w:rsid w:val="008040FE"/>
    <w:rsid w:val="00816D2A"/>
    <w:rsid w:val="0082498E"/>
    <w:rsid w:val="00825A83"/>
    <w:rsid w:val="00827703"/>
    <w:rsid w:val="008323DE"/>
    <w:rsid w:val="008325F8"/>
    <w:rsid w:val="00835B13"/>
    <w:rsid w:val="00842FBB"/>
    <w:rsid w:val="0085106E"/>
    <w:rsid w:val="00853284"/>
    <w:rsid w:val="0085600E"/>
    <w:rsid w:val="00861AFA"/>
    <w:rsid w:val="00863BEE"/>
    <w:rsid w:val="00877F36"/>
    <w:rsid w:val="00880F36"/>
    <w:rsid w:val="008814E0"/>
    <w:rsid w:val="0088614A"/>
    <w:rsid w:val="00892DC0"/>
    <w:rsid w:val="008A235E"/>
    <w:rsid w:val="008B464E"/>
    <w:rsid w:val="008C4195"/>
    <w:rsid w:val="008D3172"/>
    <w:rsid w:val="008E1F06"/>
    <w:rsid w:val="008E73D8"/>
    <w:rsid w:val="00900818"/>
    <w:rsid w:val="009216E1"/>
    <w:rsid w:val="00932EA2"/>
    <w:rsid w:val="00933038"/>
    <w:rsid w:val="00936875"/>
    <w:rsid w:val="00936913"/>
    <w:rsid w:val="00943E8F"/>
    <w:rsid w:val="00950AD8"/>
    <w:rsid w:val="00965E55"/>
    <w:rsid w:val="0096706A"/>
    <w:rsid w:val="00975526"/>
    <w:rsid w:val="00980EAA"/>
    <w:rsid w:val="0098796E"/>
    <w:rsid w:val="00991A4E"/>
    <w:rsid w:val="00992F53"/>
    <w:rsid w:val="009A5A2D"/>
    <w:rsid w:val="009A7E4D"/>
    <w:rsid w:val="009B5B39"/>
    <w:rsid w:val="009C3810"/>
    <w:rsid w:val="009C54D4"/>
    <w:rsid w:val="009D35FA"/>
    <w:rsid w:val="009E2862"/>
    <w:rsid w:val="009F0296"/>
    <w:rsid w:val="009F1C54"/>
    <w:rsid w:val="009F3DC5"/>
    <w:rsid w:val="009F4380"/>
    <w:rsid w:val="00A03C6D"/>
    <w:rsid w:val="00A20335"/>
    <w:rsid w:val="00A2317F"/>
    <w:rsid w:val="00A2506E"/>
    <w:rsid w:val="00A259A3"/>
    <w:rsid w:val="00A31471"/>
    <w:rsid w:val="00A6059A"/>
    <w:rsid w:val="00A647F8"/>
    <w:rsid w:val="00A6645A"/>
    <w:rsid w:val="00A75D66"/>
    <w:rsid w:val="00A9797A"/>
    <w:rsid w:val="00AB0064"/>
    <w:rsid w:val="00AC35DD"/>
    <w:rsid w:val="00AC6D1A"/>
    <w:rsid w:val="00AD3946"/>
    <w:rsid w:val="00AD40D2"/>
    <w:rsid w:val="00AD4268"/>
    <w:rsid w:val="00AE2830"/>
    <w:rsid w:val="00AE28E9"/>
    <w:rsid w:val="00AE53AF"/>
    <w:rsid w:val="00AF1927"/>
    <w:rsid w:val="00B03183"/>
    <w:rsid w:val="00B0437E"/>
    <w:rsid w:val="00B11B49"/>
    <w:rsid w:val="00B129C3"/>
    <w:rsid w:val="00B22B19"/>
    <w:rsid w:val="00B33253"/>
    <w:rsid w:val="00B509D7"/>
    <w:rsid w:val="00B568D1"/>
    <w:rsid w:val="00B62890"/>
    <w:rsid w:val="00B64BF5"/>
    <w:rsid w:val="00B71884"/>
    <w:rsid w:val="00B75C6B"/>
    <w:rsid w:val="00B77696"/>
    <w:rsid w:val="00B83FBC"/>
    <w:rsid w:val="00B90019"/>
    <w:rsid w:val="00B951B9"/>
    <w:rsid w:val="00B95BB8"/>
    <w:rsid w:val="00BA72CA"/>
    <w:rsid w:val="00BB7466"/>
    <w:rsid w:val="00BC4813"/>
    <w:rsid w:val="00BD1492"/>
    <w:rsid w:val="00BD43A8"/>
    <w:rsid w:val="00BE0040"/>
    <w:rsid w:val="00BE01EE"/>
    <w:rsid w:val="00BE129D"/>
    <w:rsid w:val="00BE33D5"/>
    <w:rsid w:val="00BE3D4B"/>
    <w:rsid w:val="00BE5CD9"/>
    <w:rsid w:val="00BF0829"/>
    <w:rsid w:val="00BF4592"/>
    <w:rsid w:val="00C0484F"/>
    <w:rsid w:val="00C070FD"/>
    <w:rsid w:val="00C07116"/>
    <w:rsid w:val="00C0720E"/>
    <w:rsid w:val="00C20CD2"/>
    <w:rsid w:val="00C314EA"/>
    <w:rsid w:val="00C33001"/>
    <w:rsid w:val="00C374AC"/>
    <w:rsid w:val="00C43A10"/>
    <w:rsid w:val="00C474AC"/>
    <w:rsid w:val="00C562DF"/>
    <w:rsid w:val="00C626F5"/>
    <w:rsid w:val="00C720BD"/>
    <w:rsid w:val="00C74657"/>
    <w:rsid w:val="00C80295"/>
    <w:rsid w:val="00C90717"/>
    <w:rsid w:val="00C91EB6"/>
    <w:rsid w:val="00CA6F0C"/>
    <w:rsid w:val="00CB1605"/>
    <w:rsid w:val="00CC28A0"/>
    <w:rsid w:val="00CD2141"/>
    <w:rsid w:val="00CD53B5"/>
    <w:rsid w:val="00CF3FC5"/>
    <w:rsid w:val="00CF5621"/>
    <w:rsid w:val="00CF68E4"/>
    <w:rsid w:val="00D0138F"/>
    <w:rsid w:val="00D0661A"/>
    <w:rsid w:val="00D17385"/>
    <w:rsid w:val="00D23594"/>
    <w:rsid w:val="00D31A27"/>
    <w:rsid w:val="00D33DFC"/>
    <w:rsid w:val="00D36ABC"/>
    <w:rsid w:val="00D40A2E"/>
    <w:rsid w:val="00D528A0"/>
    <w:rsid w:val="00D54A3C"/>
    <w:rsid w:val="00D55164"/>
    <w:rsid w:val="00D60247"/>
    <w:rsid w:val="00D6108D"/>
    <w:rsid w:val="00D8256F"/>
    <w:rsid w:val="00D86FF3"/>
    <w:rsid w:val="00D97937"/>
    <w:rsid w:val="00DA6641"/>
    <w:rsid w:val="00DD09DB"/>
    <w:rsid w:val="00DD26A7"/>
    <w:rsid w:val="00E00423"/>
    <w:rsid w:val="00E05617"/>
    <w:rsid w:val="00E06FCF"/>
    <w:rsid w:val="00E15004"/>
    <w:rsid w:val="00E175C2"/>
    <w:rsid w:val="00E20465"/>
    <w:rsid w:val="00E422AE"/>
    <w:rsid w:val="00E4698C"/>
    <w:rsid w:val="00E51143"/>
    <w:rsid w:val="00E51F79"/>
    <w:rsid w:val="00E61DA1"/>
    <w:rsid w:val="00E621B2"/>
    <w:rsid w:val="00E67714"/>
    <w:rsid w:val="00E72534"/>
    <w:rsid w:val="00E852A5"/>
    <w:rsid w:val="00EA54C2"/>
    <w:rsid w:val="00EB0C89"/>
    <w:rsid w:val="00EB0D7D"/>
    <w:rsid w:val="00EC4A37"/>
    <w:rsid w:val="00EC7D99"/>
    <w:rsid w:val="00ED04D5"/>
    <w:rsid w:val="00ED44DE"/>
    <w:rsid w:val="00ED47E3"/>
    <w:rsid w:val="00ED7832"/>
    <w:rsid w:val="00EE04F6"/>
    <w:rsid w:val="00EF4098"/>
    <w:rsid w:val="00F02A6B"/>
    <w:rsid w:val="00F032CE"/>
    <w:rsid w:val="00F039ED"/>
    <w:rsid w:val="00F113EA"/>
    <w:rsid w:val="00F120A4"/>
    <w:rsid w:val="00F1290B"/>
    <w:rsid w:val="00F12E57"/>
    <w:rsid w:val="00F25A78"/>
    <w:rsid w:val="00F53D64"/>
    <w:rsid w:val="00F54A2C"/>
    <w:rsid w:val="00F54F42"/>
    <w:rsid w:val="00F57684"/>
    <w:rsid w:val="00F5790C"/>
    <w:rsid w:val="00F623E8"/>
    <w:rsid w:val="00F67FF9"/>
    <w:rsid w:val="00F821E3"/>
    <w:rsid w:val="00F82264"/>
    <w:rsid w:val="00F86735"/>
    <w:rsid w:val="00FA188B"/>
    <w:rsid w:val="00FA1F5E"/>
    <w:rsid w:val="00FA515F"/>
    <w:rsid w:val="00FA5489"/>
    <w:rsid w:val="00FB1781"/>
    <w:rsid w:val="00FB18FB"/>
    <w:rsid w:val="00FB2F44"/>
    <w:rsid w:val="00FB5607"/>
    <w:rsid w:val="00FD706F"/>
    <w:rsid w:val="00FE3A14"/>
    <w:rsid w:val="00FE4B17"/>
    <w:rsid w:val="00FF0682"/>
    <w:rsid w:val="00FF6294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3DBB34"/>
  <w15:docId w15:val="{0FF86FF2-37E2-46D6-A7A5-A46FFD9A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6477"/>
    <w:rPr>
      <w:rFonts w:ascii="Arial" w:hAnsi="Arial" w:cs="Arial"/>
      <w:sz w:val="24"/>
      <w:szCs w:val="24"/>
      <w:lang w:val="fr-CA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852A5"/>
    <w:pPr>
      <w:keepNext/>
      <w:keepLines/>
      <w:pBdr>
        <w:bottom w:val="single" w:sz="4" w:space="1" w:color="D9D9D9" w:themeColor="background1" w:themeShade="D9"/>
      </w:pBdr>
      <w:spacing w:before="450" w:after="225"/>
      <w:ind w:right="56"/>
      <w:outlineLvl w:val="0"/>
    </w:pPr>
    <w:rPr>
      <w:rFonts w:eastAsiaTheme="minorHAnsi"/>
      <w:b/>
      <w:bCs/>
      <w:sz w:val="40"/>
      <w:szCs w:val="40"/>
      <w:lang w:val="en-CA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0484F"/>
    <w:pPr>
      <w:keepNext/>
      <w:keepLines/>
      <w:shd w:val="clear" w:color="auto" w:fill="FFFFFF"/>
      <w:spacing w:before="570" w:after="173"/>
      <w:outlineLvl w:val="1"/>
    </w:pPr>
    <w:rPr>
      <w:rFonts w:eastAsiaTheme="minorHAnsi" w:cstheme="minorBidi"/>
      <w:b/>
      <w:bCs/>
      <w:color w:val="000000"/>
      <w:sz w:val="36"/>
      <w:szCs w:val="36"/>
      <w:lang w:val="en-CA" w:eastAsia="en-CA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50875"/>
    <w:pPr>
      <w:shd w:val="clear" w:color="auto" w:fill="FFFFFF"/>
      <w:spacing w:before="480" w:after="173" w:line="345" w:lineRule="exact"/>
      <w:outlineLvl w:val="2"/>
    </w:pPr>
    <w:rPr>
      <w:rFonts w:eastAsiaTheme="minorHAnsi"/>
      <w:bCs/>
      <w:color w:val="333333"/>
      <w:sz w:val="29"/>
      <w:szCs w:val="29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C0484F"/>
    <w:pPr>
      <w:spacing w:before="390" w:after="173" w:line="345" w:lineRule="exact"/>
      <w:outlineLvl w:val="3"/>
    </w:pPr>
    <w:rPr>
      <w:rFonts w:eastAsiaTheme="minorHAnsi" w:cstheme="minorBidi"/>
      <w:b/>
      <w:sz w:val="27"/>
      <w:szCs w:val="27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E0AD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E0AD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E0AD7"/>
  </w:style>
  <w:style w:type="paragraph" w:customStyle="1" w:styleId="Bullets">
    <w:name w:val="Bullets"/>
    <w:basedOn w:val="Normal"/>
    <w:rsid w:val="000D2E01"/>
    <w:pPr>
      <w:numPr>
        <w:numId w:val="15"/>
      </w:numPr>
    </w:pPr>
  </w:style>
  <w:style w:type="paragraph" w:styleId="BalloonText">
    <w:name w:val="Balloon Text"/>
    <w:basedOn w:val="Normal"/>
    <w:semiHidden/>
    <w:rsid w:val="007C0AFF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165BCF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E852A5"/>
    <w:rPr>
      <w:rFonts w:ascii="Arial" w:eastAsiaTheme="minorHAnsi" w:hAnsi="Arial" w:cs="Arial"/>
      <w:b/>
      <w:bCs/>
      <w:sz w:val="40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C0484F"/>
    <w:rPr>
      <w:rFonts w:ascii="Arial" w:eastAsiaTheme="minorHAnsi" w:hAnsi="Arial" w:cstheme="minorBidi"/>
      <w:b/>
      <w:bCs/>
      <w:color w:val="000000"/>
      <w:sz w:val="36"/>
      <w:szCs w:val="36"/>
      <w:shd w:val="clear" w:color="auto" w:fill="FFFFFF"/>
    </w:rPr>
  </w:style>
  <w:style w:type="character" w:customStyle="1" w:styleId="Heading3Char">
    <w:name w:val="Heading 3 Char"/>
    <w:basedOn w:val="DefaultParagraphFont"/>
    <w:link w:val="Heading3"/>
    <w:uiPriority w:val="9"/>
    <w:rsid w:val="00550875"/>
    <w:rPr>
      <w:rFonts w:ascii="Arial" w:eastAsiaTheme="minorHAnsi" w:hAnsi="Arial" w:cs="Arial"/>
      <w:bCs/>
      <w:color w:val="333333"/>
      <w:sz w:val="29"/>
      <w:szCs w:val="29"/>
      <w:shd w:val="clear" w:color="auto" w:fill="FFFFFF"/>
      <w:lang w:val="fr-CA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C0484F"/>
    <w:rPr>
      <w:rFonts w:ascii="Arial" w:eastAsiaTheme="minorHAnsi" w:hAnsi="Arial" w:cstheme="minorBidi"/>
      <w:b/>
      <w:sz w:val="27"/>
      <w:szCs w:val="27"/>
      <w:lang w:eastAsia="en-US"/>
    </w:rPr>
  </w:style>
  <w:style w:type="table" w:styleId="TableGrid">
    <w:name w:val="Table Grid"/>
    <w:basedOn w:val="TableNormal"/>
    <w:uiPriority w:val="59"/>
    <w:rsid w:val="00C0484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C0484F"/>
    <w:rPr>
      <w:color w:val="2004EC"/>
      <w:u w:val="single"/>
    </w:rPr>
  </w:style>
  <w:style w:type="paragraph" w:styleId="NormalWeb">
    <w:name w:val="Normal (Web)"/>
    <w:basedOn w:val="Normal"/>
    <w:uiPriority w:val="99"/>
    <w:unhideWhenUsed/>
    <w:rsid w:val="00C0484F"/>
    <w:pPr>
      <w:spacing w:before="100" w:beforeAutospacing="1" w:after="100" w:afterAutospacing="1"/>
    </w:pPr>
    <w:rPr>
      <w:rFonts w:eastAsiaTheme="minorHAnsi" w:cstheme="minorBidi"/>
      <w:lang w:val="en-CA"/>
    </w:rPr>
  </w:style>
  <w:style w:type="paragraph" w:styleId="ListParagraph">
    <w:name w:val="List Paragraph"/>
    <w:basedOn w:val="Normal"/>
    <w:uiPriority w:val="34"/>
    <w:qFormat/>
    <w:rsid w:val="00C0484F"/>
    <w:pPr>
      <w:spacing w:after="160" w:line="345" w:lineRule="exact"/>
      <w:ind w:left="720"/>
      <w:contextualSpacing/>
    </w:pPr>
    <w:rPr>
      <w:rFonts w:eastAsiaTheme="minorHAnsi" w:cstheme="minorBidi"/>
      <w:szCs w:val="22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C048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84F"/>
    <w:pPr>
      <w:spacing w:after="160"/>
    </w:pPr>
    <w:rPr>
      <w:rFonts w:eastAsiaTheme="minorHAnsi" w:cstheme="minorBidi"/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84F"/>
    <w:rPr>
      <w:rFonts w:ascii="Arial" w:eastAsiaTheme="minorHAnsi" w:hAnsi="Arial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25B14"/>
    <w:pPr>
      <w:spacing w:after="0"/>
    </w:pPr>
    <w:rPr>
      <w:rFonts w:eastAsia="Times New Roman" w:cs="Arial"/>
      <w:b/>
      <w:bCs/>
      <w:lang w:val="fr-CA"/>
    </w:rPr>
  </w:style>
  <w:style w:type="character" w:customStyle="1" w:styleId="CommentSubjectChar">
    <w:name w:val="Comment Subject Char"/>
    <w:basedOn w:val="CommentTextChar"/>
    <w:link w:val="CommentSubject"/>
    <w:semiHidden/>
    <w:rsid w:val="00125B14"/>
    <w:rPr>
      <w:rFonts w:ascii="Arial" w:eastAsiaTheme="minorHAnsi" w:hAnsi="Arial" w:cs="Arial"/>
      <w:b/>
      <w:bCs/>
      <w:lang w:val="fr-CA" w:eastAsia="en-US"/>
    </w:rPr>
  </w:style>
  <w:style w:type="character" w:customStyle="1" w:styleId="nowrap">
    <w:name w:val="nowrap"/>
    <w:basedOn w:val="DefaultParagraphFont"/>
    <w:rsid w:val="00550875"/>
  </w:style>
  <w:style w:type="paragraph" w:styleId="Revision">
    <w:name w:val="Revision"/>
    <w:hidden/>
    <w:uiPriority w:val="99"/>
    <w:semiHidden/>
    <w:rsid w:val="00550875"/>
    <w:rPr>
      <w:rFonts w:ascii="Arial" w:hAnsi="Arial" w:cs="Arial"/>
      <w:sz w:val="24"/>
      <w:szCs w:val="24"/>
      <w:lang w:val="fr-CA" w:eastAsia="en-US"/>
    </w:rPr>
  </w:style>
  <w:style w:type="character" w:styleId="HTMLCite">
    <w:name w:val="HTML Cite"/>
    <w:basedOn w:val="DefaultParagraphFont"/>
    <w:uiPriority w:val="99"/>
    <w:semiHidden/>
    <w:unhideWhenUsed/>
    <w:rsid w:val="005C5EA3"/>
    <w:rPr>
      <w:i/>
      <w:iCs/>
    </w:rPr>
  </w:style>
  <w:style w:type="character" w:styleId="FollowedHyperlink">
    <w:name w:val="FollowedHyperlink"/>
    <w:basedOn w:val="DefaultParagraphFont"/>
    <w:semiHidden/>
    <w:unhideWhenUsed/>
    <w:rsid w:val="005C5EA3"/>
    <w:rPr>
      <w:color w:val="800080" w:themeColor="followedHyperlink"/>
      <w:u w:val="single"/>
    </w:rPr>
  </w:style>
  <w:style w:type="character" w:customStyle="1" w:styleId="hoverbg-blue-200">
    <w:name w:val="hover:bg-blue-200"/>
    <w:basedOn w:val="DefaultParagraphFont"/>
    <w:rsid w:val="004049F9"/>
  </w:style>
  <w:style w:type="character" w:styleId="UnresolvedMention">
    <w:name w:val="Unresolved Mention"/>
    <w:basedOn w:val="DefaultParagraphFont"/>
    <w:uiPriority w:val="99"/>
    <w:semiHidden/>
    <w:unhideWhenUsed/>
    <w:rsid w:val="00693E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6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24725">
              <w:marLeft w:val="0"/>
              <w:marRight w:val="0"/>
              <w:marTop w:val="0"/>
              <w:marBottom w:val="0"/>
              <w:divBdr>
                <w:top w:val="single" w:sz="6" w:space="0" w:color="D1D5DB"/>
                <w:left w:val="single" w:sz="6" w:space="0" w:color="D1D5DB"/>
                <w:bottom w:val="single" w:sz="6" w:space="0" w:color="D1D5DB"/>
                <w:right w:val="single" w:sz="6" w:space="0" w:color="D1D5DB"/>
              </w:divBdr>
              <w:divsChild>
                <w:div w:id="46065723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254180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7645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1865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ollo.omega.dce-eir.net/livelinkdav/nodes/90993709/TBD_______" TargetMode="External"/><Relationship Id="rId13" Type="http://schemas.openxmlformats.org/officeDocument/2006/relationships/hyperlink" Target="https://citt-tcce.gc.ca/fr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www.cbsa-asfc.gc.ca/contact/bis-sif-fra.htm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sa-asfc.gc.ca/publications/dm-md/d11/d11-11-3-fra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bsa-asfc.gc.ca/trade-commerce/tariff-tarif/guide/general-rules-regles-generales-fra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bsa-asfc.gc.ca/publications/dm-md/d10/d10-13-1-fra.htm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laws-lois.justice.gc.ca/fra/lois/c-54.011/TexteComplet.html" TargetMode="External"/><Relationship Id="rId14" Type="http://schemas.openxmlformats.org/officeDocument/2006/relationships/hyperlink" Target="https://www.cbsa-asfc.gc.ca/trade-commerce/tariff-tarif/menu-fra.html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57261-70FA-413C-A203-01FA89369C1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5253b65-9774-4e01-8e61-dcaccc9be209}" enabled="1" method="Standard" siteId="{bf06f9ba-7005-4119-86fc-96e4fcd96d6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For: Action</vt:lpstr>
    </vt:vector>
  </TitlesOfParts>
  <Company>Government of Canada / Gouvernement du Canada</Company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For: Action</dc:title>
  <dc:creator>Hiscocks, Matthew</dc:creator>
  <cp:lastModifiedBy>Nakamura, Stephanie (she/her)</cp:lastModifiedBy>
  <cp:revision>4</cp:revision>
  <cp:lastPrinted>2014-07-28T14:22:00Z</cp:lastPrinted>
  <dcterms:created xsi:type="dcterms:W3CDTF">2026-08-19T14:43:00Z</dcterms:created>
  <dcterms:modified xsi:type="dcterms:W3CDTF">2026-08-19T14:54:00Z</dcterms:modified>
</cp:coreProperties>
</file>