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55" w:type="pct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1524"/>
        <w:gridCol w:w="9103"/>
      </w:tblGrid>
      <w:tr w:rsidR="00C05BD2" w:rsidRPr="00BE1EA5" w14:paraId="798F6A28" w14:textId="77777777" w:rsidTr="00A669D6">
        <w:trPr>
          <w:trHeight w:val="67"/>
        </w:trPr>
        <w:tc>
          <w:tcPr>
            <w:tcW w:w="717" w:type="pct"/>
            <w:shd w:val="clear" w:color="auto" w:fill="DEEAF6" w:themeFill="accent1" w:themeFillTint="33"/>
          </w:tcPr>
          <w:p w14:paraId="7F5928DD" w14:textId="77777777" w:rsidR="00C05BD2" w:rsidRPr="003600F1" w:rsidRDefault="00C05BD2" w:rsidP="004B6A0C">
            <w:r w:rsidRPr="003600F1">
              <w:t>Template guidance</w:t>
            </w:r>
          </w:p>
        </w:tc>
        <w:tc>
          <w:tcPr>
            <w:tcW w:w="4283" w:type="pct"/>
          </w:tcPr>
          <w:p w14:paraId="1A819DCC" w14:textId="77777777" w:rsidR="00C05BD2" w:rsidRPr="00BE1EA5" w:rsidRDefault="00C05BD2" w:rsidP="004B6A0C">
            <w:pPr>
              <w:rPr>
                <w:sz w:val="20"/>
                <w:szCs w:val="20"/>
              </w:rPr>
            </w:pPr>
            <w:hyperlink r:id="rId8" w:history="1">
              <w:r w:rsidRPr="000E4F5A">
                <w:rPr>
                  <w:rStyle w:val="Hyperlink"/>
                </w:rPr>
                <w:t>https://apollo.omega.dce-eir.net/livelink/llisapi.dll/link/95295339</w:t>
              </w:r>
            </w:hyperlink>
            <w:r>
              <w:t xml:space="preserve"> </w:t>
            </w:r>
          </w:p>
        </w:tc>
      </w:tr>
      <w:tr w:rsidR="00C05BD2" w:rsidRPr="00BE1EA5" w14:paraId="36B9FEE4" w14:textId="77777777" w:rsidTr="00A669D6">
        <w:trPr>
          <w:trHeight w:val="546"/>
        </w:trPr>
        <w:tc>
          <w:tcPr>
            <w:tcW w:w="717" w:type="pct"/>
            <w:shd w:val="clear" w:color="auto" w:fill="DEEAF6" w:themeFill="accent1" w:themeFillTint="33"/>
          </w:tcPr>
          <w:p w14:paraId="0DE87293" w14:textId="77777777" w:rsidR="00C05BD2" w:rsidRPr="003600F1" w:rsidRDefault="00C05BD2" w:rsidP="004B6A0C">
            <w:r w:rsidRPr="003600F1">
              <w:t>Style guide</w:t>
            </w:r>
          </w:p>
        </w:tc>
        <w:tc>
          <w:tcPr>
            <w:tcW w:w="4283" w:type="pct"/>
          </w:tcPr>
          <w:p w14:paraId="29803690" w14:textId="77777777" w:rsidR="00C05BD2" w:rsidRPr="00BE1EA5" w:rsidRDefault="00C05BD2" w:rsidP="004B6A0C">
            <w:pPr>
              <w:rPr>
                <w:sz w:val="20"/>
                <w:szCs w:val="20"/>
              </w:rPr>
            </w:pPr>
            <w:hyperlink r:id="rId9" w:history="1">
              <w:r w:rsidRPr="00BE1EA5">
                <w:rPr>
                  <w:rStyle w:val="Hyperlink"/>
                  <w:sz w:val="20"/>
                  <w:szCs w:val="20"/>
                </w:rPr>
                <w:t>https://www.canada.ca/en/treasury-board-secretariat/services/government-communications/canada-content-style-guide.html</w:t>
              </w:r>
            </w:hyperlink>
            <w:r w:rsidRPr="00BE1EA5">
              <w:rPr>
                <w:sz w:val="20"/>
                <w:szCs w:val="20"/>
              </w:rPr>
              <w:t xml:space="preserve"> </w:t>
            </w:r>
          </w:p>
        </w:tc>
      </w:tr>
      <w:tr w:rsidR="00C05BD2" w:rsidRPr="00BE1EA5" w14:paraId="51AF7C79" w14:textId="77777777" w:rsidTr="00A669D6">
        <w:trPr>
          <w:trHeight w:val="546"/>
        </w:trPr>
        <w:tc>
          <w:tcPr>
            <w:tcW w:w="717" w:type="pct"/>
            <w:tcBorders>
              <w:bottom w:val="single" w:sz="4" w:space="0" w:color="DDD9C3"/>
            </w:tcBorders>
            <w:shd w:val="clear" w:color="auto" w:fill="DEEAF6" w:themeFill="accent1" w:themeFillTint="33"/>
          </w:tcPr>
          <w:p w14:paraId="18743CBC" w14:textId="77777777" w:rsidR="00C05BD2" w:rsidRPr="003600F1" w:rsidRDefault="00C05BD2" w:rsidP="004B6A0C">
            <w:r w:rsidRPr="003600F1">
              <w:t>Breadcrumb</w:t>
            </w:r>
          </w:p>
        </w:tc>
        <w:tc>
          <w:tcPr>
            <w:tcW w:w="4283" w:type="pct"/>
            <w:tcBorders>
              <w:bottom w:val="single" w:sz="4" w:space="0" w:color="DDD9C3"/>
            </w:tcBorders>
            <w:shd w:val="clear" w:color="auto" w:fill="F9F9F9"/>
          </w:tcPr>
          <w:p w14:paraId="3E4AABD9" w14:textId="77777777" w:rsidR="00C05BD2" w:rsidRPr="009F5A99" w:rsidRDefault="00C05BD2" w:rsidP="004B6A0C">
            <w:pPr>
              <w:rPr>
                <w:color w:val="F2F2F2" w:themeColor="background1" w:themeShade="F2"/>
              </w:rPr>
            </w:pPr>
            <w:r w:rsidRPr="00DE1885">
              <w:rPr>
                <w:color w:val="808080" w:themeColor="background1" w:themeShade="80"/>
              </w:rPr>
              <w:t>example:</w:t>
            </w:r>
            <w:r>
              <w:t xml:space="preserve"> </w:t>
            </w:r>
            <w:r w:rsidRPr="00A85CDE">
              <w:t xml:space="preserve">Home  &gt; </w:t>
            </w:r>
            <w:r>
              <w:t>Publications</w:t>
            </w:r>
            <w:r w:rsidRPr="00A85CDE">
              <w:t xml:space="preserve"> &gt; </w:t>
            </w:r>
            <w:r>
              <w:t>Departmental memoranda</w:t>
            </w:r>
            <w:r w:rsidRPr="00A85CDE">
              <w:t xml:space="preserve"> &gt; </w:t>
            </w:r>
            <w:r>
              <w:t>(Relevant D section)</w:t>
            </w:r>
          </w:p>
        </w:tc>
      </w:tr>
    </w:tbl>
    <w:p w14:paraId="759F633A" w14:textId="0EA03911" w:rsidR="00475A5E" w:rsidRPr="00BE1EA5" w:rsidRDefault="008A7944" w:rsidP="00895207">
      <w:pPr>
        <w:pStyle w:val="Heading1"/>
      </w:pPr>
      <w:r w:rsidRPr="008A7944">
        <w:t xml:space="preserve">Memorandum </w:t>
      </w:r>
      <w:r w:rsidR="006A484E" w:rsidRPr="006A484E">
        <w:t>D10-14-38</w:t>
      </w:r>
      <w:r w:rsidR="006A484E">
        <w:t xml:space="preserve">: </w:t>
      </w:r>
      <w:r w:rsidR="006A484E" w:rsidRPr="006A484E">
        <w:t xml:space="preserve">Tariff Classification of  Furniture </w:t>
      </w:r>
      <w:r w:rsidR="009B2958">
        <w:t>Pieces and Sets</w:t>
      </w:r>
      <w:r w:rsidR="00C8197C">
        <w:t>, Including When</w:t>
      </w:r>
      <w:r w:rsidR="009B2958">
        <w:t xml:space="preserve"> </w:t>
      </w:r>
      <w:r w:rsidR="006A484E" w:rsidRPr="006A484E">
        <w:t>Imported Unassembled or Disassembled</w:t>
      </w:r>
    </w:p>
    <w:p w14:paraId="6F0AF0DC" w14:textId="5095D1B8" w:rsidR="00D02963" w:rsidRDefault="00D02963" w:rsidP="0068637B">
      <w:r w:rsidRPr="00D02963">
        <w:t>ISSN 2369-2391</w:t>
      </w:r>
    </w:p>
    <w:p w14:paraId="48A21BBE" w14:textId="1B7A77F9" w:rsidR="00FE6683" w:rsidRDefault="00D02963" w:rsidP="0068637B">
      <w:r w:rsidRPr="00D02963">
        <w:t xml:space="preserve">Ottawa, </w:t>
      </w:r>
      <w:r w:rsidR="009B2958">
        <w:t>X</w:t>
      </w:r>
      <w:r w:rsidR="006A484E">
        <w:t>,</w:t>
      </w:r>
      <w:r w:rsidRPr="00D02963">
        <w:t xml:space="preserve"> 202</w:t>
      </w:r>
      <w:r w:rsidR="009B2958">
        <w:t>6</w:t>
      </w:r>
    </w:p>
    <w:p w14:paraId="2419B9D4" w14:textId="554302C0" w:rsidR="00D02963" w:rsidRDefault="00D02963" w:rsidP="0068637B">
      <w:pPr>
        <w:rPr>
          <w:lang w:val="en"/>
        </w:rPr>
      </w:pPr>
      <w:r>
        <w:rPr>
          <w:lang w:val="en"/>
        </w:rPr>
        <w:t xml:space="preserve">This document is also available in </w:t>
      </w:r>
      <w:hyperlink r:id="rId10" w:history="1">
        <w:r w:rsidRPr="00D02963">
          <w:rPr>
            <w:rStyle w:val="Hyperlink"/>
            <w:lang w:val="en"/>
          </w:rPr>
          <w:t>PDF (589 KB)</w:t>
        </w:r>
      </w:hyperlink>
      <w:r>
        <w:rPr>
          <w:lang w:val="en"/>
        </w:rPr>
        <w:t xml:space="preserve"> </w:t>
      </w:r>
    </w:p>
    <w:p w14:paraId="2C162C04" w14:textId="77777777" w:rsidR="00FC7B80" w:rsidRDefault="00FC7B80" w:rsidP="0068637B">
      <w:pPr>
        <w:rPr>
          <w:lang w:val="en"/>
        </w:rPr>
      </w:pPr>
    </w:p>
    <w:p w14:paraId="4FAE4C8A" w14:textId="360070C7" w:rsidR="00FC7B80" w:rsidRDefault="00FC7B80" w:rsidP="00FC7B80">
      <w:pPr>
        <w:rPr>
          <w:rStyle w:val="Heading2Char"/>
        </w:rPr>
      </w:pPr>
      <w:r w:rsidRPr="00F95203">
        <w:rPr>
          <w:rStyle w:val="Heading2Char"/>
        </w:rPr>
        <w:t>Plain language summar</w:t>
      </w:r>
      <w:r>
        <w:rPr>
          <w:rStyle w:val="Heading2Char"/>
        </w:rPr>
        <w:t>y</w:t>
      </w:r>
    </w:p>
    <w:p w14:paraId="357B9F1A" w14:textId="35329A03" w:rsidR="00606860" w:rsidRPr="00606860" w:rsidRDefault="00606860" w:rsidP="00FC7B80">
      <w:pPr>
        <w:rPr>
          <w:b/>
          <w:bCs/>
        </w:rPr>
      </w:pPr>
      <w:r w:rsidRPr="00606860">
        <w:rPr>
          <w:b/>
          <w:bCs/>
        </w:rPr>
        <w:t>Target audience</w:t>
      </w:r>
      <w:r>
        <w:rPr>
          <w:b/>
          <w:bCs/>
        </w:rPr>
        <w:t>:</w:t>
      </w:r>
      <w:r w:rsidR="009B2958">
        <w:rPr>
          <w:b/>
          <w:bCs/>
        </w:rPr>
        <w:t xml:space="preserve"> </w:t>
      </w:r>
      <w:r w:rsidR="009B2958" w:rsidRPr="009B2958">
        <w:rPr>
          <w:b/>
          <w:bCs/>
        </w:rPr>
        <w:t>Importers of commercial goods</w:t>
      </w:r>
    </w:p>
    <w:p w14:paraId="6279B7F7" w14:textId="1689EF2D" w:rsidR="00FC7B80" w:rsidRPr="00FC7B80" w:rsidRDefault="00FC7B80" w:rsidP="00FC7B80">
      <w:pPr>
        <w:rPr>
          <w:b/>
        </w:rPr>
      </w:pPr>
      <w:r>
        <w:rPr>
          <w:b/>
        </w:rPr>
        <w:t>Key content:</w:t>
      </w:r>
      <w:r w:rsidR="009B2958">
        <w:rPr>
          <w:b/>
        </w:rPr>
        <w:t xml:space="preserve"> Tariff Classification of furniture pieces and sets imported unassembled or disassembled</w:t>
      </w:r>
    </w:p>
    <w:p w14:paraId="11A6EF19" w14:textId="45B9C9DA" w:rsidR="00FC7B80" w:rsidRPr="00FC7B80" w:rsidRDefault="00FC7B80" w:rsidP="0068637B">
      <w:pPr>
        <w:rPr>
          <w:b/>
        </w:rPr>
      </w:pPr>
      <w:r>
        <w:rPr>
          <w:b/>
        </w:rPr>
        <w:t>Keywords:</w:t>
      </w:r>
      <w:r w:rsidR="009B2958">
        <w:rPr>
          <w:b/>
        </w:rPr>
        <w:t xml:space="preserve"> Furniture, furniture sets, unassembled furniture, disassembled furniture, importing furniture </w:t>
      </w:r>
    </w:p>
    <w:p w14:paraId="6E041563" w14:textId="45F1F1A4" w:rsidR="00F73D1A" w:rsidRPr="00BE1EA5" w:rsidRDefault="00F73D1A" w:rsidP="0068637B">
      <w:pPr>
        <w:pStyle w:val="Heading2"/>
      </w:pPr>
      <w:r w:rsidRPr="00BE1EA5">
        <w:t xml:space="preserve">On this page  </w:t>
      </w:r>
    </w:p>
    <w:p w14:paraId="3597B68E" w14:textId="28DE086E" w:rsidR="00F214A7" w:rsidRPr="002B15EF" w:rsidRDefault="004A4857" w:rsidP="00A44454">
      <w:pPr>
        <w:pStyle w:val="ListParagraph"/>
        <w:numPr>
          <w:ilvl w:val="0"/>
          <w:numId w:val="8"/>
        </w:numPr>
        <w:rPr>
          <w:rStyle w:val="Hyperlink"/>
          <w:color w:val="auto"/>
          <w:u w:val="none"/>
        </w:rPr>
      </w:pPr>
      <w:hyperlink w:anchor="_D-memo_updates" w:history="1">
        <w:r w:rsidRPr="004A4857">
          <w:rPr>
            <w:rStyle w:val="Hyperlink"/>
          </w:rPr>
          <w:t>U</w:t>
        </w:r>
        <w:r w:rsidR="00311705" w:rsidRPr="004A4857">
          <w:rPr>
            <w:rStyle w:val="Hyperlink"/>
          </w:rPr>
          <w:t>pdates</w:t>
        </w:r>
        <w:r w:rsidRPr="004A4857">
          <w:rPr>
            <w:rStyle w:val="Hyperlink"/>
          </w:rPr>
          <w:t xml:space="preserve"> made to this D-memo</w:t>
        </w:r>
      </w:hyperlink>
    </w:p>
    <w:p w14:paraId="0B062159" w14:textId="38330F72" w:rsidR="005A3609" w:rsidRDefault="005A3609" w:rsidP="008A7944">
      <w:pPr>
        <w:pStyle w:val="ListParagraph"/>
        <w:numPr>
          <w:ilvl w:val="0"/>
          <w:numId w:val="8"/>
        </w:numPr>
      </w:pPr>
      <w:hyperlink w:anchor="_Guidelines_and_General" w:history="1">
        <w:r w:rsidRPr="005A3609">
          <w:rPr>
            <w:rStyle w:val="Hyperlink"/>
          </w:rPr>
          <w:t>Guidelines</w:t>
        </w:r>
      </w:hyperlink>
    </w:p>
    <w:p w14:paraId="12F8687A" w14:textId="23C5E714" w:rsidR="005A3609" w:rsidRPr="00294DC9" w:rsidRDefault="00294DC9" w:rsidP="005A3609">
      <w:pPr>
        <w:pStyle w:val="ListParagraph"/>
        <w:numPr>
          <w:ilvl w:val="1"/>
          <w:numId w:val="8"/>
        </w:numPr>
        <w:rPr>
          <w:rStyle w:val="Hyperlink"/>
        </w:rPr>
      </w:pPr>
      <w:r>
        <w:fldChar w:fldCharType="begin"/>
      </w:r>
      <w:r>
        <w:instrText>HYPERLINK  \l "_Definitions_[optional]"</w:instrText>
      </w:r>
      <w:r>
        <w:fldChar w:fldCharType="separate"/>
      </w:r>
      <w:r w:rsidR="005A3609" w:rsidRPr="00294DC9">
        <w:rPr>
          <w:rStyle w:val="Hyperlink"/>
        </w:rPr>
        <w:t>Tariff Classification Policy</w:t>
      </w:r>
      <w:r w:rsidR="001724A4" w:rsidRPr="00294DC9">
        <w:rPr>
          <w:rStyle w:val="Hyperlink"/>
        </w:rPr>
        <w:t xml:space="preserve"> – Furniture Pieces</w:t>
      </w:r>
    </w:p>
    <w:p w14:paraId="3A643370" w14:textId="19B2DB5F" w:rsidR="003C13CA" w:rsidRDefault="00294DC9" w:rsidP="003C13CA">
      <w:pPr>
        <w:pStyle w:val="ListParagraph"/>
        <w:numPr>
          <w:ilvl w:val="1"/>
          <w:numId w:val="8"/>
        </w:numPr>
        <w:rPr>
          <w:rStyle w:val="Hyperlink"/>
          <w:color w:val="auto"/>
          <w:u w:val="none"/>
        </w:rPr>
      </w:pPr>
      <w:r>
        <w:fldChar w:fldCharType="end"/>
      </w:r>
      <w:hyperlink w:anchor="_Furniture_Sets" w:history="1">
        <w:r w:rsidR="001724A4" w:rsidRPr="00294DC9">
          <w:rPr>
            <w:rStyle w:val="Hyperlink"/>
          </w:rPr>
          <w:t xml:space="preserve">Tariff Classification Policy - </w:t>
        </w:r>
        <w:r w:rsidRPr="00294DC9">
          <w:rPr>
            <w:rStyle w:val="Hyperlink"/>
          </w:rPr>
          <w:t>Furniture Sets</w:t>
        </w:r>
      </w:hyperlink>
    </w:p>
    <w:p w14:paraId="36FF804D" w14:textId="31097567" w:rsidR="003C13CA" w:rsidRPr="00341519" w:rsidRDefault="00341519" w:rsidP="008E4AA6">
      <w:pPr>
        <w:pStyle w:val="ListParagraph"/>
        <w:numPr>
          <w:ilvl w:val="1"/>
          <w:numId w:val="8"/>
        </w:numPr>
        <w:rPr>
          <w:rStyle w:val="Hyperlink"/>
        </w:rPr>
      </w:pPr>
      <w:r>
        <w:fldChar w:fldCharType="begin"/>
      </w:r>
      <w:r>
        <w:instrText>HYPERLINK  \l "_Additional_Information_1"</w:instrText>
      </w:r>
      <w:r>
        <w:fldChar w:fldCharType="separate"/>
      </w:r>
      <w:r w:rsidR="003C13CA" w:rsidRPr="00341519">
        <w:rPr>
          <w:rStyle w:val="Hyperlink"/>
        </w:rPr>
        <w:t>Additional Information</w:t>
      </w:r>
    </w:p>
    <w:p w14:paraId="6E4E82BD" w14:textId="7A97F342" w:rsidR="000361C3" w:rsidRDefault="00341519" w:rsidP="00341519">
      <w:pPr>
        <w:pStyle w:val="ListParagraph"/>
        <w:numPr>
          <w:ilvl w:val="0"/>
          <w:numId w:val="8"/>
        </w:numPr>
      </w:pPr>
      <w:r>
        <w:fldChar w:fldCharType="end"/>
      </w:r>
      <w:hyperlink w:anchor="_References" w:history="1">
        <w:r w:rsidR="000361C3" w:rsidRPr="00686294">
          <w:rPr>
            <w:rStyle w:val="Hyperlink"/>
          </w:rPr>
          <w:t>References</w:t>
        </w:r>
      </w:hyperlink>
    </w:p>
    <w:p w14:paraId="5BB66FB7" w14:textId="195AF72D" w:rsidR="00182979" w:rsidRPr="003C13CA" w:rsidRDefault="003C13CA" w:rsidP="008A7944">
      <w:pPr>
        <w:pStyle w:val="ListParagraph"/>
        <w:numPr>
          <w:ilvl w:val="0"/>
          <w:numId w:val="8"/>
        </w:numPr>
        <w:rPr>
          <w:rStyle w:val="Hyperlink"/>
        </w:rPr>
      </w:pPr>
      <w:r>
        <w:fldChar w:fldCharType="begin"/>
      </w:r>
      <w:r>
        <w:instrText>HYPERLINK  \l "_Contact_us"</w:instrText>
      </w:r>
      <w:r>
        <w:fldChar w:fldCharType="separate"/>
      </w:r>
      <w:r w:rsidR="00182979" w:rsidRPr="003C13CA">
        <w:rPr>
          <w:rStyle w:val="Hyperlink"/>
        </w:rPr>
        <w:t>Contact us</w:t>
      </w:r>
    </w:p>
    <w:p w14:paraId="4E29BF3C" w14:textId="2A10877B" w:rsidR="008A7944" w:rsidRPr="003C13CA" w:rsidRDefault="003C13CA" w:rsidP="008A7944">
      <w:pPr>
        <w:pStyle w:val="ListParagraph"/>
        <w:numPr>
          <w:ilvl w:val="0"/>
          <w:numId w:val="8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 \l "_Related_links_[optional]"</w:instrText>
      </w:r>
      <w:r>
        <w:fldChar w:fldCharType="separate"/>
      </w:r>
      <w:r w:rsidR="008A7944" w:rsidRPr="003C13CA">
        <w:rPr>
          <w:rStyle w:val="Hyperlink"/>
        </w:rPr>
        <w:t>Re</w:t>
      </w:r>
      <w:r w:rsidR="00267A11" w:rsidRPr="003C13CA">
        <w:rPr>
          <w:rStyle w:val="Hyperlink"/>
        </w:rPr>
        <w:t xml:space="preserve">lated </w:t>
      </w:r>
      <w:r w:rsidR="00893BFD" w:rsidRPr="003C13CA">
        <w:rPr>
          <w:rStyle w:val="Hyperlink"/>
        </w:rPr>
        <w:t>links</w:t>
      </w:r>
    </w:p>
    <w:bookmarkStart w:id="0" w:name="_Subheading_use_Heading"/>
    <w:bookmarkStart w:id="1" w:name="_Subheading_[HEADING_2]"/>
    <w:bookmarkStart w:id="2" w:name="_D-memo_updates"/>
    <w:bookmarkEnd w:id="0"/>
    <w:bookmarkEnd w:id="1"/>
    <w:bookmarkEnd w:id="2"/>
    <w:p w14:paraId="63AB8E73" w14:textId="4932E1AA" w:rsidR="00311705" w:rsidRDefault="003C13CA" w:rsidP="0068637B">
      <w:pPr>
        <w:pStyle w:val="Heading2"/>
      </w:pPr>
      <w:r>
        <w:rPr>
          <w:b w:val="0"/>
          <w:bCs w:val="0"/>
          <w:color w:val="auto"/>
          <w:sz w:val="24"/>
          <w:szCs w:val="22"/>
          <w:lang w:eastAsia="en-US"/>
        </w:rPr>
        <w:fldChar w:fldCharType="end"/>
      </w:r>
      <w:r w:rsidR="004A4857">
        <w:t xml:space="preserve">Updates made to this </w:t>
      </w:r>
      <w:r w:rsidR="00311705">
        <w:t xml:space="preserve">D-memo </w:t>
      </w:r>
    </w:p>
    <w:p w14:paraId="0CEE8502" w14:textId="77777777" w:rsidR="00CF739F" w:rsidRDefault="00FC7B80" w:rsidP="00FC7B80">
      <w:pPr>
        <w:rPr>
          <w:lang w:eastAsia="en-CA"/>
        </w:rPr>
      </w:pPr>
      <w:r w:rsidRPr="00F60539">
        <w:rPr>
          <w:lang w:eastAsia="en-CA"/>
        </w:rPr>
        <w:t>This D-memo has been updated to</w:t>
      </w:r>
      <w:r w:rsidR="00CF739F">
        <w:rPr>
          <w:lang w:eastAsia="en-CA"/>
        </w:rPr>
        <w:t>:</w:t>
      </w:r>
    </w:p>
    <w:p w14:paraId="585DE7D1" w14:textId="75FD1031" w:rsidR="00CF739F" w:rsidRPr="00A669D6" w:rsidRDefault="00CF739F" w:rsidP="00A669D6">
      <w:pPr>
        <w:pStyle w:val="ListParagraph"/>
        <w:numPr>
          <w:ilvl w:val="0"/>
          <w:numId w:val="49"/>
        </w:numPr>
        <w:ind w:right="-2698"/>
        <w:rPr>
          <w:lang w:eastAsia="en-CA"/>
        </w:rPr>
      </w:pPr>
      <w:r w:rsidRPr="00CF739F">
        <w:rPr>
          <w:lang w:val="en-US" w:eastAsia="en-CA"/>
        </w:rPr>
        <w:lastRenderedPageBreak/>
        <w:t>merge</w:t>
      </w:r>
      <w:r w:rsidR="0083259C">
        <w:rPr>
          <w:lang w:val="en-US" w:eastAsia="en-CA"/>
        </w:rPr>
        <w:t xml:space="preserve"> the policy for </w:t>
      </w:r>
      <w:r w:rsidRPr="00CF739F">
        <w:rPr>
          <w:lang w:val="en-US" w:eastAsia="en-CA"/>
        </w:rPr>
        <w:t>D</w:t>
      </w:r>
      <w:r w:rsidR="0083259C">
        <w:rPr>
          <w:lang w:val="en-US" w:eastAsia="en-CA"/>
        </w:rPr>
        <w:t xml:space="preserve">epartmental </w:t>
      </w:r>
      <w:r w:rsidRPr="00CF739F">
        <w:rPr>
          <w:lang w:val="en-US" w:eastAsia="en-CA"/>
        </w:rPr>
        <w:t>Memorand</w:t>
      </w:r>
      <w:r w:rsidR="00025596">
        <w:rPr>
          <w:lang w:val="en-US" w:eastAsia="en-CA"/>
        </w:rPr>
        <w:t>a</w:t>
      </w:r>
      <w:r w:rsidRPr="00CF739F">
        <w:rPr>
          <w:lang w:val="en-US" w:eastAsia="en-CA"/>
        </w:rPr>
        <w:t xml:space="preserve"> D10-1</w:t>
      </w:r>
      <w:r w:rsidR="00D57417">
        <w:rPr>
          <w:lang w:val="en-US" w:eastAsia="en-CA"/>
        </w:rPr>
        <w:t>4</w:t>
      </w:r>
      <w:r w:rsidRPr="00CF739F">
        <w:rPr>
          <w:lang w:val="en-US" w:eastAsia="en-CA"/>
        </w:rPr>
        <w:t>-3</w:t>
      </w:r>
      <w:r w:rsidR="00D57417">
        <w:rPr>
          <w:lang w:val="en-US" w:eastAsia="en-CA"/>
        </w:rPr>
        <w:t>8</w:t>
      </w:r>
      <w:r w:rsidRPr="00CF739F">
        <w:rPr>
          <w:lang w:val="en-US" w:eastAsia="en-CA"/>
        </w:rPr>
        <w:t xml:space="preserve"> and D10-14-</w:t>
      </w:r>
      <w:r w:rsidR="00D57417">
        <w:rPr>
          <w:lang w:val="en-US" w:eastAsia="en-CA"/>
        </w:rPr>
        <w:t>5</w:t>
      </w:r>
      <w:r w:rsidRPr="00CF739F">
        <w:rPr>
          <w:lang w:val="en-US" w:eastAsia="en-CA"/>
        </w:rPr>
        <w:t>8 that deal with furniture importations</w:t>
      </w:r>
      <w:r>
        <w:rPr>
          <w:lang w:val="en-US" w:eastAsia="en-CA"/>
        </w:rPr>
        <w:t>,</w:t>
      </w:r>
      <w:r w:rsidRPr="00CF739F">
        <w:rPr>
          <w:lang w:val="en-US" w:eastAsia="en-CA"/>
        </w:rPr>
        <w:t xml:space="preserve"> and</w:t>
      </w:r>
    </w:p>
    <w:p w14:paraId="153F9743" w14:textId="09BE6B8D" w:rsidR="00FC7B80" w:rsidRPr="00FC7B80" w:rsidRDefault="00CF739F" w:rsidP="00A669D6">
      <w:pPr>
        <w:pStyle w:val="ListParagraph"/>
        <w:numPr>
          <w:ilvl w:val="0"/>
          <w:numId w:val="49"/>
        </w:numPr>
        <w:ind w:right="-2698"/>
        <w:rPr>
          <w:lang w:eastAsia="en-CA"/>
        </w:rPr>
      </w:pPr>
      <w:r w:rsidRPr="00CF739F">
        <w:rPr>
          <w:lang w:val="en-US" w:eastAsia="en-CA"/>
        </w:rPr>
        <w:t>reflect plain language and accessibility considerations.</w:t>
      </w:r>
    </w:p>
    <w:p w14:paraId="2C26E2EB" w14:textId="10309F6C" w:rsidR="004D1F5A" w:rsidRDefault="00AE2A53" w:rsidP="00A669D6">
      <w:pPr>
        <w:pStyle w:val="Heading2"/>
        <w:ind w:right="-2840"/>
      </w:pPr>
      <w:bookmarkStart w:id="3" w:name="_Another_subheading_use"/>
      <w:bookmarkStart w:id="4" w:name="_Another_subheading_[HEADING"/>
      <w:bookmarkStart w:id="5" w:name="_Replacing_your_Pleasure"/>
      <w:bookmarkStart w:id="6" w:name="_Legislation"/>
      <w:bookmarkStart w:id="7" w:name="_Guidelines_and_General"/>
      <w:bookmarkEnd w:id="3"/>
      <w:bookmarkEnd w:id="4"/>
      <w:bookmarkEnd w:id="5"/>
      <w:bookmarkEnd w:id="6"/>
      <w:bookmarkEnd w:id="7"/>
      <w:r w:rsidRPr="00AE2A53">
        <w:t xml:space="preserve">Guidelines </w:t>
      </w:r>
    </w:p>
    <w:p w14:paraId="4CCDBE85" w14:textId="60010B86" w:rsidR="00D57417" w:rsidRDefault="003062C7" w:rsidP="00A669D6">
      <w:pPr>
        <w:ind w:right="-2840"/>
        <w:rPr>
          <w:lang w:eastAsia="en-CA"/>
        </w:rPr>
      </w:pPr>
      <w:r>
        <w:rPr>
          <w:lang w:eastAsia="en-CA"/>
        </w:rPr>
        <w:t xml:space="preserve">1. </w:t>
      </w:r>
      <w:r w:rsidR="00D57417">
        <w:rPr>
          <w:lang w:eastAsia="en-CA"/>
        </w:rPr>
        <w:t>It is a reality of modern commerce that, for ease of transport, goods may be ordered and purchased as a complete good but shipped unassembled (never having been assembled) or disassembled (knocked down) and assembled in their final form after importation. In the case of goods imported to be re-sold, the final assembly may be done before or after the retail sale to the end consumer.</w:t>
      </w:r>
    </w:p>
    <w:p w14:paraId="449A6C18" w14:textId="326C4CE3" w:rsidR="00163B9A" w:rsidRDefault="00163B9A" w:rsidP="003C6A85">
      <w:pPr>
        <w:ind w:right="-2840"/>
        <w:rPr>
          <w:lang w:eastAsia="en-CA"/>
        </w:rPr>
      </w:pPr>
      <w:r>
        <w:rPr>
          <w:lang w:eastAsia="en-CA"/>
        </w:rPr>
        <w:t xml:space="preserve">2. </w:t>
      </w:r>
      <w:r w:rsidRPr="00163B9A">
        <w:rPr>
          <w:lang w:eastAsia="en-CA"/>
        </w:rPr>
        <w:t>The term “knocked down” in shipping refers to goods, like furniture, machinery, or vehicles, that have been disassembled or taken apart into smaller components for ease of transport.</w:t>
      </w:r>
    </w:p>
    <w:p w14:paraId="198CD927" w14:textId="53BD4CFD" w:rsidR="003062C7" w:rsidRDefault="00163B9A" w:rsidP="003C6A85">
      <w:pPr>
        <w:ind w:right="-2840"/>
        <w:rPr>
          <w:lang w:eastAsia="en-CA"/>
        </w:rPr>
      </w:pPr>
      <w:r>
        <w:rPr>
          <w:lang w:eastAsia="en-CA"/>
        </w:rPr>
        <w:t>3</w:t>
      </w:r>
      <w:r w:rsidR="003062C7">
        <w:rPr>
          <w:lang w:eastAsia="en-CA"/>
        </w:rPr>
        <w:t xml:space="preserve">. </w:t>
      </w:r>
      <w:r>
        <w:rPr>
          <w:lang w:eastAsia="en-CA"/>
        </w:rPr>
        <w:t>The t</w:t>
      </w:r>
      <w:r w:rsidR="003062C7">
        <w:rPr>
          <w:lang w:eastAsia="en-CA"/>
        </w:rPr>
        <w:t>wo scenarios in which an unassembled or disassembled piece of furniture is shipped are:</w:t>
      </w:r>
    </w:p>
    <w:p w14:paraId="4B737639" w14:textId="33061174" w:rsidR="003062C7" w:rsidRDefault="00163B9A" w:rsidP="003C6A85">
      <w:pPr>
        <w:pStyle w:val="ListParagraph"/>
        <w:numPr>
          <w:ilvl w:val="1"/>
          <w:numId w:val="48"/>
        </w:numPr>
        <w:ind w:right="-2840"/>
        <w:rPr>
          <w:lang w:eastAsia="en-CA"/>
        </w:rPr>
      </w:pPr>
      <w:r>
        <w:rPr>
          <w:lang w:eastAsia="en-CA"/>
        </w:rPr>
        <w:t xml:space="preserve">Scenario 1 - </w:t>
      </w:r>
      <w:r w:rsidR="003062C7">
        <w:rPr>
          <w:lang w:eastAsia="en-CA"/>
        </w:rPr>
        <w:t xml:space="preserve">All </w:t>
      </w:r>
      <w:r w:rsidR="00324765">
        <w:rPr>
          <w:lang w:eastAsia="en-CA"/>
        </w:rPr>
        <w:t>parts</w:t>
      </w:r>
      <w:r w:rsidR="003062C7">
        <w:rPr>
          <w:lang w:eastAsia="en-CA"/>
        </w:rPr>
        <w:t xml:space="preserve"> that make up the piece of furniture are presented in a single shipment. For example, the tops, legs and hardware for six complete tables form a single shipment at the time of importation.</w:t>
      </w:r>
    </w:p>
    <w:p w14:paraId="278B465F" w14:textId="3DA3A4E6" w:rsidR="003062C7" w:rsidRPr="00AE2A53" w:rsidRDefault="00163B9A" w:rsidP="003C6A85">
      <w:pPr>
        <w:pStyle w:val="ListParagraph"/>
        <w:numPr>
          <w:ilvl w:val="1"/>
          <w:numId w:val="48"/>
        </w:numPr>
        <w:ind w:right="-2840"/>
        <w:rPr>
          <w:lang w:eastAsia="en-CA"/>
        </w:rPr>
      </w:pPr>
      <w:r>
        <w:rPr>
          <w:lang w:eastAsia="en-CA"/>
        </w:rPr>
        <w:t xml:space="preserve">Scenario 2 - </w:t>
      </w:r>
      <w:r w:rsidR="003062C7">
        <w:rPr>
          <w:lang w:eastAsia="en-CA"/>
        </w:rPr>
        <w:t>Certain parts are imported in one shipment while the remaining parts are imported in one or more separate shipments. For example, the tops for six complete tables are imported as a single shipment with the legs and hardware being imported a week later as a separate shipment.</w:t>
      </w:r>
    </w:p>
    <w:p w14:paraId="748D1B41" w14:textId="3F862A9A" w:rsidR="00AE2A53" w:rsidRDefault="00163B9A" w:rsidP="003C6A85">
      <w:pPr>
        <w:ind w:right="-2840"/>
        <w:rPr>
          <w:lang w:eastAsia="en-CA"/>
        </w:rPr>
      </w:pPr>
      <w:r>
        <w:rPr>
          <w:lang w:eastAsia="en-CA"/>
        </w:rPr>
        <w:t>4</w:t>
      </w:r>
      <w:r w:rsidR="003062C7">
        <w:rPr>
          <w:lang w:eastAsia="en-CA"/>
        </w:rPr>
        <w:t xml:space="preserve">. </w:t>
      </w:r>
      <w:r w:rsidR="00AE2A53">
        <w:rPr>
          <w:lang w:eastAsia="en-CA"/>
        </w:rPr>
        <w:t>Explanatory Notes (V), (VI), (VII), (VIII) and (IX) to G</w:t>
      </w:r>
      <w:r w:rsidR="00E06383">
        <w:rPr>
          <w:lang w:eastAsia="en-CA"/>
        </w:rPr>
        <w:t xml:space="preserve">eneral Interpretive </w:t>
      </w:r>
      <w:r w:rsidR="00AE2A53">
        <w:rPr>
          <w:lang w:eastAsia="en-CA"/>
        </w:rPr>
        <w:t>R</w:t>
      </w:r>
      <w:r w:rsidR="00E06383">
        <w:rPr>
          <w:lang w:eastAsia="en-CA"/>
        </w:rPr>
        <w:t>ule</w:t>
      </w:r>
      <w:r w:rsidR="00AE2A53">
        <w:rPr>
          <w:lang w:eastAsia="en-CA"/>
        </w:rPr>
        <w:t xml:space="preserve"> </w:t>
      </w:r>
      <w:r w:rsidR="00E06383">
        <w:rPr>
          <w:lang w:eastAsia="en-CA"/>
        </w:rPr>
        <w:t xml:space="preserve">(GIR) </w:t>
      </w:r>
      <w:r w:rsidR="00AE2A53">
        <w:rPr>
          <w:lang w:eastAsia="en-CA"/>
        </w:rPr>
        <w:t>2(a) provide guidance with respect to articles that are presented unassembled or disassembled.</w:t>
      </w:r>
    </w:p>
    <w:p w14:paraId="39BC11C9" w14:textId="53473536" w:rsidR="00AE2A53" w:rsidRDefault="00AE2A53" w:rsidP="003C6A85">
      <w:pPr>
        <w:pStyle w:val="Heading3"/>
        <w:ind w:right="-2840"/>
      </w:pPr>
      <w:bookmarkStart w:id="8" w:name="_Definitions_[optional]"/>
      <w:bookmarkStart w:id="9" w:name="_Tariff_Classification_Policy"/>
      <w:bookmarkEnd w:id="8"/>
      <w:bookmarkEnd w:id="9"/>
      <w:r w:rsidRPr="00AE2A53">
        <w:t xml:space="preserve">Tariff Classification Policy </w:t>
      </w:r>
      <w:r w:rsidR="008D480D">
        <w:t>– Furniture Pieces</w:t>
      </w:r>
    </w:p>
    <w:p w14:paraId="44AE736B" w14:textId="0635F2AA" w:rsidR="00F97FFD" w:rsidRDefault="00163B9A" w:rsidP="003C6A85">
      <w:pPr>
        <w:ind w:right="-2840"/>
      </w:pPr>
      <w:r>
        <w:t>5</w:t>
      </w:r>
      <w:r w:rsidR="003062C7">
        <w:t xml:space="preserve">. </w:t>
      </w:r>
      <w:r w:rsidR="00AE2A53" w:rsidRPr="00AE2A53">
        <w:t xml:space="preserve">Goods described by </w:t>
      </w:r>
      <w:r>
        <w:t>Scenario 1</w:t>
      </w:r>
      <w:r w:rsidR="00AE2A53" w:rsidRPr="00AE2A53">
        <w:t xml:space="preserve"> are to be considered articles presented unassembled or disassembled and, in accordance with GIR 2(a), are classified </w:t>
      </w:r>
      <w:r w:rsidR="00CD5F79" w:rsidRPr="00AE2A53">
        <w:t xml:space="preserve">as </w:t>
      </w:r>
      <w:r w:rsidR="00CD5F79">
        <w:t xml:space="preserve">if </w:t>
      </w:r>
      <w:r w:rsidR="00CD5F79" w:rsidRPr="00AE2A53">
        <w:t>the</w:t>
      </w:r>
      <w:r w:rsidR="00CD5F79">
        <w:t>y</w:t>
      </w:r>
      <w:r w:rsidR="00CD5F79" w:rsidRPr="00AE2A53">
        <w:t xml:space="preserve"> </w:t>
      </w:r>
      <w:r w:rsidR="00CD5F79">
        <w:t xml:space="preserve">were </w:t>
      </w:r>
      <w:r w:rsidR="00CD5F79" w:rsidRPr="00AE2A53">
        <w:t>completely assembled.</w:t>
      </w:r>
      <w:r w:rsidR="00BF5947" w:rsidRPr="00BF5947">
        <w:t xml:space="preserve"> </w:t>
      </w:r>
      <w:r w:rsidR="00BF5947" w:rsidRPr="00AE2A53">
        <w:t xml:space="preserve">GIR 2(a) does not apply to goods described by </w:t>
      </w:r>
      <w:r w:rsidR="00BF5947">
        <w:t>Scenario 2</w:t>
      </w:r>
      <w:r w:rsidR="00BF5947" w:rsidRPr="00AE2A53">
        <w:t>.</w:t>
      </w:r>
    </w:p>
    <w:p w14:paraId="2488E473" w14:textId="0E805A29" w:rsidR="00AE2A53" w:rsidRDefault="00163B9A" w:rsidP="003C6A85">
      <w:pPr>
        <w:ind w:right="-2840"/>
      </w:pPr>
      <w:r>
        <w:t>6</w:t>
      </w:r>
      <w:r w:rsidR="003062C7">
        <w:t xml:space="preserve">. </w:t>
      </w:r>
      <w:r w:rsidR="00BF5947" w:rsidRPr="00AE2A53">
        <w:t xml:space="preserve">Goods described by </w:t>
      </w:r>
      <w:r w:rsidR="00BF5947">
        <w:t xml:space="preserve">Scenario 2 are classified individually.  </w:t>
      </w:r>
      <w:r w:rsidR="00D269BA">
        <w:t>In th</w:t>
      </w:r>
      <w:r>
        <w:t>at</w:t>
      </w:r>
      <w:r w:rsidR="00D269BA">
        <w:t xml:space="preserve"> example, e</w:t>
      </w:r>
      <w:r w:rsidR="00AE2A53" w:rsidRPr="00AE2A53">
        <w:t xml:space="preserve">ach </w:t>
      </w:r>
      <w:r>
        <w:t>shipment is considered separate, and the parts are c</w:t>
      </w:r>
      <w:r w:rsidR="00AE2A53" w:rsidRPr="00AE2A53">
        <w:t xml:space="preserve">lassified </w:t>
      </w:r>
      <w:r w:rsidR="00D269BA">
        <w:t>individually</w:t>
      </w:r>
      <w:r w:rsidR="00AE2A53">
        <w:t xml:space="preserve">. </w:t>
      </w:r>
    </w:p>
    <w:p w14:paraId="507FA654" w14:textId="1FB02EAB" w:rsidR="00AE2A53" w:rsidRDefault="00163B9A" w:rsidP="003C6A85">
      <w:pPr>
        <w:ind w:right="-2840"/>
      </w:pPr>
      <w:r>
        <w:t>7</w:t>
      </w:r>
      <w:r w:rsidR="003062C7">
        <w:t xml:space="preserve">. </w:t>
      </w:r>
      <w:r>
        <w:t>Individual parts</w:t>
      </w:r>
      <w:r w:rsidR="00AE2A53">
        <w:t xml:space="preserve"> that are imported as replacement parts, or to be used to manufacture furniture in Canada, are to be classified </w:t>
      </w:r>
      <w:r w:rsidR="00D269BA">
        <w:t>individually</w:t>
      </w:r>
      <w:r w:rsidR="003E2A7A">
        <w:t>.</w:t>
      </w:r>
    </w:p>
    <w:p w14:paraId="76016C6E" w14:textId="287960D1" w:rsidR="00AE2A53" w:rsidRPr="00AE2A53" w:rsidRDefault="008D480D" w:rsidP="003C6A85">
      <w:pPr>
        <w:pStyle w:val="Heading3"/>
        <w:ind w:right="-2840"/>
      </w:pPr>
      <w:bookmarkStart w:id="10" w:name="_Furniture_Sets"/>
      <w:bookmarkEnd w:id="10"/>
      <w:r>
        <w:t xml:space="preserve">Tariff Classification Policy - </w:t>
      </w:r>
      <w:r w:rsidR="00AE2A53" w:rsidRPr="00AE2A53">
        <w:t>Furniture Sets</w:t>
      </w:r>
    </w:p>
    <w:p w14:paraId="5AF36B59" w14:textId="44CE68DA" w:rsidR="00A44454" w:rsidRDefault="00A44454" w:rsidP="003C6A85">
      <w:pPr>
        <w:ind w:right="-2840"/>
      </w:pPr>
      <w:r>
        <w:t>8. Furniture sets consist of two or more individual pieces of furniture.</w:t>
      </w:r>
    </w:p>
    <w:p w14:paraId="0C364ED2" w14:textId="30E31079" w:rsidR="00BF2EE6" w:rsidRDefault="00A44454" w:rsidP="003C6A85">
      <w:pPr>
        <w:ind w:right="-2840"/>
      </w:pPr>
      <w:r>
        <w:lastRenderedPageBreak/>
        <w:t>9</w:t>
      </w:r>
      <w:r w:rsidR="003062C7">
        <w:t xml:space="preserve">. </w:t>
      </w:r>
      <w:r>
        <w:t xml:space="preserve">In order to classify a set by GIR 3(b), it must </w:t>
      </w:r>
      <w:r w:rsidR="00D92296">
        <w:t>be considered</w:t>
      </w:r>
      <w:r>
        <w:t xml:space="preserve"> a “set for retail sale”. </w:t>
      </w:r>
      <w:r w:rsidR="00BF2EE6">
        <w:t xml:space="preserve">Goods </w:t>
      </w:r>
      <w:r w:rsidR="00BE6519">
        <w:t>marketed</w:t>
      </w:r>
      <w:r w:rsidR="00BF2EE6">
        <w:t xml:space="preserve"> as </w:t>
      </w:r>
      <w:r>
        <w:t>“</w:t>
      </w:r>
      <w:r w:rsidR="00BF2EE6">
        <w:t>furniture sets" qualify as "sets for retail sale"</w:t>
      </w:r>
      <w:r w:rsidR="00E619AC">
        <w:t xml:space="preserve"> only</w:t>
      </w:r>
      <w:r w:rsidR="00BF2EE6">
        <w:t xml:space="preserve"> if the individual pieces:</w:t>
      </w:r>
    </w:p>
    <w:p w14:paraId="6B2CB2B7" w14:textId="5EF6B59F" w:rsidR="00BF2EE6" w:rsidRDefault="00BF2EE6" w:rsidP="003C6A85">
      <w:pPr>
        <w:ind w:left="720" w:right="-2840"/>
      </w:pPr>
      <w:r>
        <w:t xml:space="preserve">(a)  are designed for use together in a specific room/locale, such as a kitchen, dining room, living room or bedroom, or for a specific function, such as an office environment; </w:t>
      </w:r>
    </w:p>
    <w:p w14:paraId="4C982810" w14:textId="1DA6EF90" w:rsidR="000A7668" w:rsidRDefault="00BF2EE6" w:rsidP="00A44454">
      <w:pPr>
        <w:ind w:right="-2840" w:firstLine="720"/>
      </w:pPr>
      <w:r>
        <w:t>(b) are generally manufactured from the same materials</w:t>
      </w:r>
      <w:r w:rsidR="000A7668">
        <w:t>; and</w:t>
      </w:r>
    </w:p>
    <w:p w14:paraId="2CD100CE" w14:textId="1CA6F638" w:rsidR="00BF2EE6" w:rsidRDefault="000A7668" w:rsidP="003C6A85">
      <w:pPr>
        <w:ind w:right="-2840" w:firstLine="720"/>
      </w:pPr>
      <w:r>
        <w:t xml:space="preserve">(c) </w:t>
      </w:r>
      <w:r w:rsidRPr="000A7668">
        <w:t>are put up in a manner suitable for sale directly to end users without repacking</w:t>
      </w:r>
      <w:r>
        <w:t>.</w:t>
      </w:r>
    </w:p>
    <w:p w14:paraId="40D05E69" w14:textId="1E7E2770" w:rsidR="004D3E82" w:rsidRDefault="00BF2EE6" w:rsidP="003C6A85">
      <w:pPr>
        <w:ind w:left="360" w:right="-2840"/>
      </w:pPr>
      <w:r>
        <w:t>Note: The pieces also usually have a common or complementary styling (e.g., Swedish Modern or French Provincial).</w:t>
      </w:r>
    </w:p>
    <w:p w14:paraId="37AF8D07" w14:textId="4163A26A" w:rsidR="00BF2EE6" w:rsidRDefault="00A44454" w:rsidP="003C6A85">
      <w:pPr>
        <w:ind w:right="-2840"/>
      </w:pPr>
      <w:r>
        <w:t xml:space="preserve">10. </w:t>
      </w:r>
      <w:r w:rsidR="00974D35" w:rsidRPr="00974D35">
        <w:t xml:space="preserve"> </w:t>
      </w:r>
      <w:r w:rsidR="00974D35">
        <w:t>A</w:t>
      </w:r>
      <w:r w:rsidR="00974D35" w:rsidRPr="00F33137">
        <w:t xml:space="preserve"> </w:t>
      </w:r>
      <w:r w:rsidR="00974D35">
        <w:t xml:space="preserve">Compendium of Classification Opinion </w:t>
      </w:r>
      <w:r w:rsidR="00974D35" w:rsidRPr="00F33137">
        <w:t>of the Harmonized System Committee</w:t>
      </w:r>
      <w:r w:rsidR="00974D35">
        <w:t xml:space="preserve"> (CO 9403.60/1)</w:t>
      </w:r>
      <w:r w:rsidR="00974D35" w:rsidRPr="00F33137">
        <w:t xml:space="preserve"> of the World Customs Organization</w:t>
      </w:r>
      <w:r w:rsidR="00974D35">
        <w:t xml:space="preserve"> </w:t>
      </w:r>
      <w:r w:rsidR="00974D35" w:rsidRPr="00F33137">
        <w:t>established that the number of boxes is a factor in how a furniture set is classified</w:t>
      </w:r>
      <w:r w:rsidR="00974D35">
        <w:t xml:space="preserve">. </w:t>
      </w:r>
      <w:r w:rsidR="00FC0FA6">
        <w:t>Depending on the shipping requirements, they may</w:t>
      </w:r>
      <w:r w:rsidR="00F33137">
        <w:t xml:space="preserve"> </w:t>
      </w:r>
      <w:r w:rsidR="00F33137" w:rsidRPr="00F33137">
        <w:t>enter Canada in a single box or in two or more boxes.</w:t>
      </w:r>
    </w:p>
    <w:p w14:paraId="50148086" w14:textId="5E661CE2" w:rsidR="006327F2" w:rsidRDefault="00A44454" w:rsidP="00A44454">
      <w:pPr>
        <w:ind w:right="-2840"/>
      </w:pPr>
      <w:r>
        <w:t>11</w:t>
      </w:r>
      <w:r w:rsidR="00F33137">
        <w:t xml:space="preserve">. </w:t>
      </w:r>
      <w:r w:rsidR="00F33137" w:rsidRPr="00F33137">
        <w:t>For example, a "furniture set" consisting of a table and several chairs</w:t>
      </w:r>
      <w:r w:rsidR="00504B7A">
        <w:t>, that mee</w:t>
      </w:r>
      <w:r w:rsidR="006F620A">
        <w:t>t</w:t>
      </w:r>
      <w:r w:rsidR="00504B7A">
        <w:t>s the criteria set out in paragraph 9,</w:t>
      </w:r>
      <w:r w:rsidR="00F33137" w:rsidRPr="00F33137">
        <w:t xml:space="preserve"> can be considered a "set for retail sale"</w:t>
      </w:r>
      <w:r w:rsidR="006327F2">
        <w:t xml:space="preserve"> if it is packaged in a single box</w:t>
      </w:r>
      <w:r w:rsidR="00F33137" w:rsidRPr="00F33137">
        <w:t xml:space="preserve">. </w:t>
      </w:r>
      <w:r w:rsidR="00B12F39">
        <w:t xml:space="preserve"> </w:t>
      </w:r>
      <w:r w:rsidR="00F33137" w:rsidRPr="00F33137">
        <w:t xml:space="preserve">It would be classified as a single </w:t>
      </w:r>
      <w:r w:rsidR="00B12F39">
        <w:t>good</w:t>
      </w:r>
      <w:r w:rsidR="00F33137" w:rsidRPr="00F33137">
        <w:t xml:space="preserve">, under the heading appropriate for the </w:t>
      </w:r>
      <w:r w:rsidR="00504B7A">
        <w:t xml:space="preserve">furniture </w:t>
      </w:r>
      <w:r w:rsidR="00F33137" w:rsidRPr="00F33137">
        <w:t>piece that gives the "furniture set" its essential character, by application of GIR 3(b)</w:t>
      </w:r>
      <w:r w:rsidR="00FA3F0E">
        <w:t xml:space="preserve"> or, if no essential character can be determined, then by application of GIR 3(c)</w:t>
      </w:r>
      <w:r w:rsidR="00F33137" w:rsidRPr="00F33137">
        <w:t>.</w:t>
      </w:r>
      <w:r w:rsidR="00F33137">
        <w:t xml:space="preserve"> </w:t>
      </w:r>
    </w:p>
    <w:p w14:paraId="79795B2B" w14:textId="7DCC0CEB" w:rsidR="00F33137" w:rsidRDefault="006327F2" w:rsidP="003C6A85">
      <w:pPr>
        <w:ind w:right="-2840"/>
      </w:pPr>
      <w:r>
        <w:t>12. I</w:t>
      </w:r>
      <w:r w:rsidR="00F33137" w:rsidRPr="00F33137">
        <w:t xml:space="preserve">f the same "furniture set" is packaged in more than one box, it </w:t>
      </w:r>
      <w:r>
        <w:t xml:space="preserve">is not </w:t>
      </w:r>
      <w:r w:rsidR="00F33137" w:rsidRPr="00F33137">
        <w:t>considered to be a "set for retail sale"</w:t>
      </w:r>
      <w:r>
        <w:t xml:space="preserve"> for </w:t>
      </w:r>
      <w:r w:rsidR="00504B7A">
        <w:t xml:space="preserve">classification by </w:t>
      </w:r>
      <w:r>
        <w:t>GIR 3</w:t>
      </w:r>
      <w:r w:rsidR="00F33137" w:rsidRPr="00F33137">
        <w:t>. Consequently, the table and chairs would have to be classified separately</w:t>
      </w:r>
      <w:r w:rsidR="00C4093F">
        <w:t>, as individual furniture pieces</w:t>
      </w:r>
      <w:r w:rsidR="00F33137" w:rsidRPr="00F33137">
        <w:t>.</w:t>
      </w:r>
    </w:p>
    <w:p w14:paraId="2AEE6F8D" w14:textId="399D4DE2" w:rsidR="00F33137" w:rsidRDefault="00A44454" w:rsidP="003C6A85">
      <w:pPr>
        <w:ind w:right="-2840"/>
      </w:pPr>
      <w:r>
        <w:t>1</w:t>
      </w:r>
      <w:r w:rsidR="006327F2">
        <w:t>3</w:t>
      </w:r>
      <w:r w:rsidR="00F33137">
        <w:t xml:space="preserve">. </w:t>
      </w:r>
      <w:r w:rsidR="00F33137" w:rsidRPr="00F33137">
        <w:t xml:space="preserve">It is important to note that the determination of the "essential character" of a "set for retail sale" required by GIR 3(b) </w:t>
      </w:r>
      <w:r w:rsidR="00D92296">
        <w:t xml:space="preserve">is </w:t>
      </w:r>
      <w:r w:rsidR="00F33137" w:rsidRPr="00F33137">
        <w:t>made on a case-by-case basis, taking into consideration all of the characteristics of the specific goods.</w:t>
      </w:r>
      <w:r w:rsidR="00F33137">
        <w:t xml:space="preserve"> </w:t>
      </w:r>
      <w:r w:rsidR="00F33137" w:rsidRPr="00F33137">
        <w:t>Some of the characteristics that may be considered include functionality, durability, quality, material composition and relative value.</w:t>
      </w:r>
    </w:p>
    <w:p w14:paraId="50B253D3" w14:textId="758FCC71" w:rsidR="00BF2EE6" w:rsidRDefault="00A44454" w:rsidP="008E4AA6">
      <w:pPr>
        <w:ind w:right="-2840"/>
      </w:pPr>
      <w:r>
        <w:t>1</w:t>
      </w:r>
      <w:r w:rsidR="006327F2">
        <w:t>4</w:t>
      </w:r>
      <w:r w:rsidR="00F33137" w:rsidRPr="00F33137">
        <w:t>. A furniture "set for retail sale" can be imported assembled, unassembled</w:t>
      </w:r>
      <w:r w:rsidR="00504B7A">
        <w:t>,</w:t>
      </w:r>
      <w:r w:rsidR="00F33137" w:rsidRPr="00F33137">
        <w:t xml:space="preserve"> or disassembled</w:t>
      </w:r>
      <w:r w:rsidR="003E2A7A">
        <w:t>, in accordance with GIR 2(a)</w:t>
      </w:r>
      <w:r w:rsidR="000A7668">
        <w:t>.</w:t>
      </w:r>
      <w:bookmarkStart w:id="11" w:name="_Additional_Information"/>
      <w:bookmarkEnd w:id="11"/>
    </w:p>
    <w:p w14:paraId="66C416A4" w14:textId="77777777" w:rsidR="00AE2A53" w:rsidRPr="003C6A85" w:rsidRDefault="00AE2A53" w:rsidP="008E4AA6">
      <w:pPr>
        <w:pStyle w:val="Heading3"/>
      </w:pPr>
      <w:bookmarkStart w:id="12" w:name="_Additional_Information_1"/>
      <w:bookmarkEnd w:id="12"/>
      <w:r w:rsidRPr="003C6A85">
        <w:t>Additional Information</w:t>
      </w:r>
    </w:p>
    <w:p w14:paraId="664A7803" w14:textId="0118F5ED" w:rsidR="00AE2A53" w:rsidRPr="00AE2A53" w:rsidRDefault="00F33137" w:rsidP="003C6A85">
      <w:pPr>
        <w:ind w:right="-2840"/>
      </w:pPr>
      <w:r>
        <w:t>1</w:t>
      </w:r>
      <w:r w:rsidR="006327F2">
        <w:t>5</w:t>
      </w:r>
      <w:r>
        <w:t xml:space="preserve">. </w:t>
      </w:r>
      <w:r w:rsidR="00AE2A53">
        <w:t xml:space="preserve">Procedures to obtain an advance ruling for tariff classification of goods are outlined in </w:t>
      </w:r>
      <w:hyperlink r:id="rId11" w:history="1">
        <w:r w:rsidR="00AE2A53" w:rsidRPr="00506514">
          <w:rPr>
            <w:rStyle w:val="Hyperlink"/>
          </w:rPr>
          <w:t>Memorandum D11-11-3 Advance Rulings for Tariff Classification</w:t>
        </w:r>
      </w:hyperlink>
      <w:r w:rsidR="00AE2A53">
        <w:t>.</w:t>
      </w:r>
    </w:p>
    <w:p w14:paraId="02B7DFD8" w14:textId="4E31C894" w:rsidR="000361C3" w:rsidRDefault="000361C3" w:rsidP="003C6A85">
      <w:pPr>
        <w:pStyle w:val="Heading2"/>
        <w:ind w:right="-2840"/>
      </w:pPr>
      <w:bookmarkStart w:id="13" w:name="_Appendix_[optional]"/>
      <w:bookmarkStart w:id="14" w:name="_References"/>
      <w:bookmarkEnd w:id="13"/>
      <w:bookmarkEnd w:id="14"/>
      <w:r>
        <w:t>References</w:t>
      </w:r>
      <w:r w:rsidRPr="00B3754B">
        <w:t xml:space="preserve"> </w:t>
      </w:r>
    </w:p>
    <w:p w14:paraId="40696168" w14:textId="115A77E1" w:rsidR="005A3609" w:rsidRPr="005A3609" w:rsidRDefault="005A3609" w:rsidP="003C6A85">
      <w:pPr>
        <w:ind w:right="-2840"/>
        <w:rPr>
          <w:lang w:eastAsia="en-CA"/>
        </w:rPr>
      </w:pPr>
      <w:r w:rsidRPr="005A3609">
        <w:rPr>
          <w:lang w:eastAsia="en-CA"/>
        </w:rPr>
        <w:t>Consult these resources for further information.</w:t>
      </w:r>
    </w:p>
    <w:p w14:paraId="76E6F0CD" w14:textId="77777777" w:rsidR="000361C3" w:rsidRPr="00095F78" w:rsidRDefault="000361C3" w:rsidP="00095F78">
      <w:pPr>
        <w:pStyle w:val="Heading3"/>
      </w:pPr>
      <w:bookmarkStart w:id="15" w:name="_Applicable_legislation"/>
      <w:bookmarkEnd w:id="15"/>
      <w:r w:rsidRPr="00095F78">
        <w:lastRenderedPageBreak/>
        <w:t xml:space="preserve">Applicable legislation </w:t>
      </w:r>
    </w:p>
    <w:p w14:paraId="054B6644" w14:textId="77777777" w:rsidR="005A3609" w:rsidRPr="005A3609" w:rsidRDefault="005A3609" w:rsidP="005A3609">
      <w:pPr>
        <w:numPr>
          <w:ilvl w:val="0"/>
          <w:numId w:val="32"/>
        </w:numPr>
        <w:rPr>
          <w:rFonts w:cs="Arial"/>
          <w:i/>
          <w:iCs/>
          <w:lang w:eastAsia="en-CA"/>
        </w:rPr>
      </w:pPr>
      <w:hyperlink r:id="rId12" w:history="1">
        <w:r w:rsidRPr="005A3609">
          <w:rPr>
            <w:rStyle w:val="Hyperlink"/>
            <w:rFonts w:cs="Arial"/>
            <w:i/>
            <w:iCs/>
            <w:lang w:eastAsia="en-CA"/>
          </w:rPr>
          <w:t>Customs Tariff</w:t>
        </w:r>
      </w:hyperlink>
    </w:p>
    <w:p w14:paraId="59619DA6" w14:textId="687445FF" w:rsidR="00F214A7" w:rsidRDefault="004A4857" w:rsidP="00095F78">
      <w:pPr>
        <w:pStyle w:val="Heading3"/>
        <w:rPr>
          <w:lang w:eastAsia="en-CA"/>
        </w:rPr>
      </w:pPr>
      <w:r>
        <w:rPr>
          <w:lang w:eastAsia="en-CA"/>
        </w:rPr>
        <w:t>Superseded</w:t>
      </w:r>
      <w:r w:rsidR="000361C3">
        <w:rPr>
          <w:lang w:eastAsia="en-CA"/>
        </w:rPr>
        <w:t xml:space="preserve"> memorand</w:t>
      </w:r>
      <w:r w:rsidR="006E0D3D">
        <w:rPr>
          <w:lang w:eastAsia="en-CA"/>
        </w:rPr>
        <w:t>a</w:t>
      </w:r>
      <w:r w:rsidR="000361C3">
        <w:rPr>
          <w:lang w:eastAsia="en-CA"/>
        </w:rPr>
        <w:t xml:space="preserve"> D</w:t>
      </w:r>
    </w:p>
    <w:p w14:paraId="5D6D68ED" w14:textId="7BE69EA8" w:rsidR="005A3609" w:rsidRPr="003C6A85" w:rsidRDefault="005A3609" w:rsidP="00F214A7">
      <w:pPr>
        <w:pStyle w:val="ListParagraph"/>
        <w:numPr>
          <w:ilvl w:val="0"/>
          <w:numId w:val="47"/>
        </w:numPr>
        <w:rPr>
          <w:b/>
          <w:sz w:val="32"/>
          <w:szCs w:val="32"/>
          <w:lang w:val="en-US" w:eastAsia="en-CA"/>
        </w:rPr>
      </w:pPr>
      <w:r w:rsidRPr="005A3609">
        <w:rPr>
          <w:lang w:eastAsia="en-CA"/>
        </w:rPr>
        <w:t>D10-14-38 dated March 23, 2006</w:t>
      </w:r>
    </w:p>
    <w:p w14:paraId="4EA48CC7" w14:textId="4216FF1D" w:rsidR="00832C55" w:rsidRPr="00F214A7" w:rsidRDefault="00832C55" w:rsidP="00F214A7">
      <w:pPr>
        <w:pStyle w:val="ListParagraph"/>
        <w:numPr>
          <w:ilvl w:val="0"/>
          <w:numId w:val="47"/>
        </w:numPr>
        <w:rPr>
          <w:b/>
          <w:sz w:val="32"/>
          <w:szCs w:val="32"/>
          <w:lang w:val="en-US" w:eastAsia="en-CA"/>
        </w:rPr>
      </w:pPr>
      <w:r>
        <w:rPr>
          <w:lang w:eastAsia="en-CA"/>
        </w:rPr>
        <w:t>D10-14-58 dated March 3, 2014</w:t>
      </w:r>
    </w:p>
    <w:p w14:paraId="551F8532" w14:textId="546412C4" w:rsidR="00B3754B" w:rsidRDefault="003A044A" w:rsidP="00095F78">
      <w:pPr>
        <w:pStyle w:val="Heading3"/>
      </w:pPr>
      <w:r w:rsidRPr="00B3754B">
        <w:t xml:space="preserve">Issuing office </w:t>
      </w:r>
    </w:p>
    <w:p w14:paraId="60AF3296" w14:textId="6801F71D" w:rsidR="005A3609" w:rsidRPr="005A3609" w:rsidRDefault="005A3609" w:rsidP="005A3609">
      <w:pPr>
        <w:rPr>
          <w:lang w:val="en-US"/>
        </w:rPr>
      </w:pPr>
      <w:r w:rsidRPr="005A3609">
        <w:t>Tariff Classification, Origin and Valuation Division</w:t>
      </w:r>
      <w:r w:rsidRPr="005A3609">
        <w:br/>
        <w:t xml:space="preserve">Trade Programs </w:t>
      </w:r>
      <w:r w:rsidR="008D480D">
        <w:t xml:space="preserve">and Operations </w:t>
      </w:r>
      <w:r w:rsidRPr="005A3609">
        <w:t>Directorate</w:t>
      </w:r>
      <w:r w:rsidRPr="005A3609">
        <w:br/>
        <w:t>Commercial and Trade Branch</w:t>
      </w:r>
    </w:p>
    <w:p w14:paraId="44E248C3" w14:textId="12E2687C" w:rsidR="00B3754B" w:rsidRDefault="00B3754B" w:rsidP="001E18B6">
      <w:pPr>
        <w:pStyle w:val="Heading2"/>
      </w:pPr>
      <w:bookmarkStart w:id="16" w:name="_Contact_us"/>
      <w:bookmarkEnd w:id="16"/>
      <w:r>
        <w:t xml:space="preserve">Contact </w:t>
      </w:r>
      <w:r w:rsidR="00692116">
        <w:t>us</w:t>
      </w:r>
    </w:p>
    <w:p w14:paraId="28935DCD" w14:textId="79F5FA7D" w:rsidR="002B15EF" w:rsidRDefault="0053184B" w:rsidP="002B15EF">
      <w:hyperlink r:id="rId13" w:history="1">
        <w:r>
          <w:rPr>
            <w:rStyle w:val="Hyperlink"/>
          </w:rPr>
          <w:t>Contact border information services</w:t>
        </w:r>
      </w:hyperlink>
    </w:p>
    <w:p w14:paraId="36F2D2C1" w14:textId="0EB516EC" w:rsidR="00B3754B" w:rsidRDefault="00B3754B" w:rsidP="00095F78">
      <w:pPr>
        <w:pStyle w:val="Heading3"/>
        <w:rPr>
          <w:lang w:eastAsia="en-CA"/>
        </w:rPr>
      </w:pPr>
      <w:bookmarkStart w:id="17" w:name="_Related_links_[optional]"/>
      <w:bookmarkEnd w:id="17"/>
      <w:r>
        <w:rPr>
          <w:lang w:eastAsia="en-CA"/>
        </w:rPr>
        <w:t xml:space="preserve">Related </w:t>
      </w:r>
      <w:r w:rsidR="00893BFD">
        <w:rPr>
          <w:lang w:eastAsia="en-CA"/>
        </w:rPr>
        <w:t>links</w:t>
      </w:r>
      <w:r>
        <w:rPr>
          <w:lang w:eastAsia="en-CA"/>
        </w:rPr>
        <w:t xml:space="preserve"> </w:t>
      </w:r>
    </w:p>
    <w:p w14:paraId="094401DD" w14:textId="77EE6BE9" w:rsidR="003C13CA" w:rsidRPr="00A669D6" w:rsidRDefault="008D480D" w:rsidP="003C13CA">
      <w:pPr>
        <w:numPr>
          <w:ilvl w:val="0"/>
          <w:numId w:val="35"/>
        </w:numPr>
        <w:rPr>
          <w:rStyle w:val="Hyperlink"/>
          <w:rFonts w:cs="Arial"/>
          <w:i/>
          <w:iCs/>
          <w:lang w:eastAsia="en-CA"/>
        </w:rPr>
      </w:pPr>
      <w:r>
        <w:rPr>
          <w:rFonts w:cs="Arial"/>
          <w:color w:val="0000FF"/>
          <w:u w:val="single" w:color="0000FF"/>
        </w:rPr>
        <w:fldChar w:fldCharType="begin"/>
      </w:r>
      <w:r>
        <w:rPr>
          <w:rFonts w:cs="Arial"/>
          <w:color w:val="0000FF"/>
          <w:u w:val="single" w:color="0000FF"/>
        </w:rPr>
        <w:instrText>HYPERLINK "https://www.cbsa-asfc.gc.ca/publications/dm-md/d11/d11-11-3-eng.html"</w:instrText>
      </w:r>
      <w:r>
        <w:rPr>
          <w:rFonts w:cs="Arial"/>
          <w:color w:val="0000FF"/>
          <w:u w:val="single" w:color="0000FF"/>
        </w:rPr>
      </w:r>
      <w:r>
        <w:rPr>
          <w:rFonts w:cs="Arial"/>
          <w:color w:val="0000FF"/>
          <w:u w:val="single" w:color="0000FF"/>
        </w:rPr>
        <w:fldChar w:fldCharType="separate"/>
      </w:r>
      <w:r w:rsidR="003C13CA" w:rsidRPr="003C6A85">
        <w:rPr>
          <w:rStyle w:val="Hyperlink"/>
        </w:rPr>
        <w:t>D11-11-3</w:t>
      </w:r>
      <w:r w:rsidR="00F0567D" w:rsidRPr="008D480D">
        <w:rPr>
          <w:rStyle w:val="Hyperlink"/>
        </w:rPr>
        <w:t xml:space="preserve"> Advance Rulings for Tariff Classification</w:t>
      </w:r>
    </w:p>
    <w:p w14:paraId="13066951" w14:textId="36102E46" w:rsidR="00B04A5B" w:rsidRPr="00A669D6" w:rsidRDefault="008D480D" w:rsidP="003C13CA">
      <w:pPr>
        <w:numPr>
          <w:ilvl w:val="0"/>
          <w:numId w:val="35"/>
        </w:numPr>
        <w:rPr>
          <w:rFonts w:cs="Arial"/>
          <w:i/>
          <w:iCs/>
          <w:lang w:eastAsia="en-CA"/>
        </w:rPr>
      </w:pPr>
      <w:r>
        <w:rPr>
          <w:rFonts w:cs="Arial"/>
          <w:color w:val="0000FF"/>
          <w:u w:val="single" w:color="0000FF"/>
        </w:rPr>
        <w:fldChar w:fldCharType="end"/>
      </w:r>
      <w:hyperlink r:id="rId14" w:history="1">
        <w:r w:rsidR="000A7668" w:rsidRPr="008D480D">
          <w:rPr>
            <w:rStyle w:val="Hyperlink"/>
          </w:rPr>
          <w:t>D</w:t>
        </w:r>
        <w:r w:rsidR="00B04A5B" w:rsidRPr="008D480D">
          <w:rPr>
            <w:rStyle w:val="Hyperlink"/>
          </w:rPr>
          <w:t>10-13-</w:t>
        </w:r>
        <w:r w:rsidRPr="008D480D">
          <w:rPr>
            <w:rStyle w:val="Hyperlink"/>
          </w:rPr>
          <w:t>1 Tariff Classification of Goods</w:t>
        </w:r>
      </w:hyperlink>
    </w:p>
    <w:p w14:paraId="2BF7C357" w14:textId="05472B93" w:rsidR="00C9256E" w:rsidRPr="00BE1EA5" w:rsidRDefault="00A36D81" w:rsidP="0031002C">
      <w:pPr>
        <w:pStyle w:val="Heading2"/>
      </w:pPr>
      <w:r w:rsidRPr="00BE1EA5">
        <w:t>Metadata table</w:t>
      </w:r>
      <w:r w:rsidR="00F424F1" w:rsidRPr="00BE1EA5">
        <w:t xml:space="preserve"> </w:t>
      </w:r>
      <w:r w:rsidR="008569BC" w:rsidRPr="00BE1EA5">
        <w:t>–</w:t>
      </w:r>
      <w:r w:rsidR="00F424F1" w:rsidRPr="00BE1EA5">
        <w:t xml:space="preserve"> M</w:t>
      </w:r>
      <w:r w:rsidR="008A40F2" w:rsidRPr="00BE1EA5">
        <w:t>andatory</w:t>
      </w:r>
    </w:p>
    <w:p w14:paraId="75446A66" w14:textId="099C09AB" w:rsidR="00976ECD" w:rsidRDefault="00976ECD" w:rsidP="00976ECD">
      <w:pPr>
        <w:rPr>
          <w:lang w:eastAsia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9"/>
        <w:gridCol w:w="3201"/>
      </w:tblGrid>
      <w:tr w:rsidR="00095F78" w:rsidRPr="00731650" w14:paraId="362E9FEF" w14:textId="77777777" w:rsidTr="004B6A0C">
        <w:trPr>
          <w:trHeight w:val="480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803B64" w14:textId="6FF1AA8C" w:rsidR="00095F78" w:rsidRPr="00731650" w:rsidRDefault="00095F78" w:rsidP="004B6A0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31650">
              <w:rPr>
                <w:b/>
                <w:sz w:val="18"/>
                <w:szCs w:val="18"/>
                <w:lang w:eastAsia="en-CA"/>
              </w:rPr>
              <w:t>Description</w:t>
            </w:r>
            <w:r w:rsidRPr="00731650">
              <w:rPr>
                <w:b/>
                <w:sz w:val="18"/>
                <w:szCs w:val="18"/>
                <w:lang w:eastAsia="en-CA"/>
              </w:rPr>
              <w:br/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3E6C" w14:textId="4DB7DB6B" w:rsidR="00095F78" w:rsidRPr="00731650" w:rsidRDefault="00095F78" w:rsidP="004B6A0C">
            <w:pPr>
              <w:spacing w:before="120" w:after="120"/>
              <w:rPr>
                <w:bCs/>
                <w:sz w:val="20"/>
                <w:szCs w:val="20"/>
              </w:rPr>
            </w:pPr>
            <w:r w:rsidRPr="00366B48">
              <w:rPr>
                <w:bCs/>
                <w:sz w:val="20"/>
              </w:rPr>
              <w:t xml:space="preserve">Policy that determines how CBSA implements the </w:t>
            </w:r>
            <w:r w:rsidR="00B12F39">
              <w:rPr>
                <w:bCs/>
                <w:sz w:val="20"/>
              </w:rPr>
              <w:t>tariff classification of furniture and furniture sets</w:t>
            </w:r>
            <w:r w:rsidRPr="00366B48">
              <w:rPr>
                <w:bCs/>
                <w:sz w:val="20"/>
              </w:rPr>
              <w:t>.</w:t>
            </w:r>
          </w:p>
        </w:tc>
      </w:tr>
      <w:tr w:rsidR="00095F78" w:rsidRPr="00731650" w14:paraId="6B532B8B" w14:textId="77777777" w:rsidTr="004B6A0C">
        <w:trPr>
          <w:trHeight w:val="436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BA607A" w14:textId="77777777" w:rsidR="00095F78" w:rsidRPr="008A1CE6" w:rsidRDefault="00095F78" w:rsidP="004B6A0C">
            <w:pPr>
              <w:spacing w:before="120"/>
              <w:rPr>
                <w:b/>
                <w:sz w:val="18"/>
                <w:szCs w:val="18"/>
                <w:lang w:eastAsia="en-CA"/>
              </w:rPr>
            </w:pPr>
            <w:r w:rsidRPr="008A1CE6">
              <w:rPr>
                <w:b/>
                <w:sz w:val="18"/>
                <w:szCs w:val="18"/>
                <w:lang w:eastAsia="en-CA"/>
              </w:rPr>
              <w:t>Subject</w:t>
            </w:r>
          </w:p>
          <w:p w14:paraId="7B985C97" w14:textId="6D927B39" w:rsidR="00095F78" w:rsidRPr="00731650" w:rsidRDefault="00095F78" w:rsidP="004B6A0C">
            <w:pPr>
              <w:spacing w:before="120" w:after="120"/>
              <w:rPr>
                <w:b/>
                <w:sz w:val="18"/>
                <w:szCs w:val="18"/>
                <w:lang w:eastAsia="en-CA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C3C" w14:textId="2596C776" w:rsidR="00095F78" w:rsidRPr="00731650" w:rsidRDefault="00095F78" w:rsidP="004B6A0C">
            <w:pPr>
              <w:spacing w:before="120" w:after="120"/>
              <w:rPr>
                <w:bCs/>
                <w:sz w:val="20"/>
                <w:szCs w:val="20"/>
              </w:rPr>
            </w:pPr>
            <w:r w:rsidRPr="00366B48">
              <w:rPr>
                <w:bCs/>
                <w:sz w:val="20"/>
              </w:rPr>
              <w:t>Policy</w:t>
            </w:r>
            <w:r w:rsidR="00B12F39">
              <w:rPr>
                <w:bCs/>
                <w:sz w:val="20"/>
              </w:rPr>
              <w:t>,</w:t>
            </w:r>
            <w:r w:rsidRPr="00366B48">
              <w:rPr>
                <w:bCs/>
                <w:sz w:val="20"/>
              </w:rPr>
              <w:t xml:space="preserve"> Trade</w:t>
            </w:r>
            <w:r w:rsidR="00B12F39">
              <w:rPr>
                <w:bCs/>
                <w:sz w:val="20"/>
              </w:rPr>
              <w:t>,</w:t>
            </w:r>
            <w:r w:rsidRPr="00366B48">
              <w:rPr>
                <w:bCs/>
                <w:sz w:val="20"/>
              </w:rPr>
              <w:t xml:space="preserve"> Border Crossing</w:t>
            </w:r>
            <w:r w:rsidR="00B12F39">
              <w:rPr>
                <w:bCs/>
                <w:sz w:val="20"/>
              </w:rPr>
              <w:t>,</w:t>
            </w:r>
            <w:r w:rsidRPr="00366B48">
              <w:rPr>
                <w:bCs/>
                <w:sz w:val="20"/>
              </w:rPr>
              <w:t xml:space="preserve"> Customs and excise</w:t>
            </w:r>
            <w:r w:rsidR="00B12F39">
              <w:rPr>
                <w:bCs/>
                <w:sz w:val="20"/>
              </w:rPr>
              <w:t>,</w:t>
            </w:r>
            <w:r w:rsidRPr="00366B48">
              <w:rPr>
                <w:bCs/>
                <w:sz w:val="20"/>
              </w:rPr>
              <w:t xml:space="preserve"> </w:t>
            </w:r>
            <w:r w:rsidR="00832C55">
              <w:rPr>
                <w:bCs/>
                <w:sz w:val="20"/>
              </w:rPr>
              <w:t>Furniture, Furniture Sets, Tariff Classification, Unassembled, Disassembled</w:t>
            </w:r>
          </w:p>
        </w:tc>
      </w:tr>
      <w:tr w:rsidR="00095F78" w:rsidRPr="00731650" w14:paraId="3E517FB4" w14:textId="77777777" w:rsidTr="004B6A0C">
        <w:trPr>
          <w:trHeight w:val="99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BA53DA" w14:textId="77777777" w:rsidR="00095F78" w:rsidRPr="00731650" w:rsidRDefault="00095F78" w:rsidP="004B6A0C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731650">
              <w:rPr>
                <w:b/>
                <w:sz w:val="18"/>
                <w:szCs w:val="18"/>
                <w:lang w:eastAsia="en-CA"/>
              </w:rPr>
              <w:t>Keywords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C2D0" w14:textId="08198B02" w:rsidR="00095F78" w:rsidRPr="00731650" w:rsidRDefault="00095F78" w:rsidP="004B6A0C">
            <w:pPr>
              <w:spacing w:before="120" w:after="120"/>
              <w:rPr>
                <w:bCs/>
                <w:sz w:val="20"/>
                <w:szCs w:val="20"/>
              </w:rPr>
            </w:pPr>
            <w:r w:rsidRPr="00366B48">
              <w:rPr>
                <w:bCs/>
                <w:sz w:val="20"/>
              </w:rPr>
              <w:t>Departmental memoranda, memorandum, legislation</w:t>
            </w:r>
            <w:r w:rsidR="00B12F39">
              <w:rPr>
                <w:bCs/>
                <w:sz w:val="20"/>
              </w:rPr>
              <w:t xml:space="preserve">, </w:t>
            </w:r>
            <w:r w:rsidR="00B12F39">
              <w:rPr>
                <w:bCs/>
                <w:sz w:val="20"/>
              </w:rPr>
              <w:lastRenderedPageBreak/>
              <w:t>furniture, furniture set, unassembled, disassembled</w:t>
            </w:r>
          </w:p>
        </w:tc>
      </w:tr>
      <w:tr w:rsidR="00095F78" w:rsidRPr="00731650" w14:paraId="1C63716D" w14:textId="77777777" w:rsidTr="004B6A0C">
        <w:trPr>
          <w:trHeight w:val="99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CE392" w14:textId="77777777" w:rsidR="00095F78" w:rsidRPr="00731650" w:rsidRDefault="00095F78" w:rsidP="004B6A0C">
            <w:pPr>
              <w:spacing w:before="120" w:after="120"/>
              <w:rPr>
                <w:b/>
                <w:sz w:val="18"/>
                <w:szCs w:val="18"/>
                <w:lang w:eastAsia="en-CA"/>
              </w:rPr>
            </w:pPr>
            <w:r>
              <w:rPr>
                <w:b/>
                <w:sz w:val="18"/>
                <w:szCs w:val="18"/>
                <w:lang w:eastAsia="en-CA"/>
              </w:rPr>
              <w:lastRenderedPageBreak/>
              <w:t>Content owner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74F" w14:textId="0433758A" w:rsidR="00095F78" w:rsidRPr="00731650" w:rsidRDefault="00B12F39" w:rsidP="004B6A0C">
            <w:pPr>
              <w:spacing w:before="120" w:after="120"/>
              <w:rPr>
                <w:bCs/>
                <w:sz w:val="20"/>
                <w:szCs w:val="20"/>
              </w:rPr>
            </w:pPr>
            <w:r w:rsidRPr="00B12F39">
              <w:rPr>
                <w:bCs/>
                <w:sz w:val="20"/>
                <w:szCs w:val="20"/>
              </w:rPr>
              <w:t>Canada Border Services Agency &gt; Commercial and Trade &gt; Trade Programs Directorate &gt; Tariff Classification, Origin and Valuation Division &gt; Tariff Classification Unit</w:t>
            </w:r>
          </w:p>
        </w:tc>
      </w:tr>
    </w:tbl>
    <w:p w14:paraId="5F7ABCB0" w14:textId="40EFCFD0" w:rsidR="00165196" w:rsidRPr="00BE1EA5" w:rsidRDefault="00165196" w:rsidP="00AD4507">
      <w:pPr>
        <w:rPr>
          <w:lang w:eastAsia="en-CA"/>
        </w:rPr>
      </w:pPr>
    </w:p>
    <w:sectPr w:rsidR="00165196" w:rsidRPr="00BE1EA5" w:rsidSect="00341519">
      <w:headerReference w:type="first" r:id="rId15"/>
      <w:pgSz w:w="12240" w:h="15840" w:code="1"/>
      <w:pgMar w:top="720" w:right="3870" w:bottom="720" w:left="720" w:header="56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9CB5" w14:textId="77777777" w:rsidR="007B4408" w:rsidRDefault="007B4408" w:rsidP="00AD4507">
      <w:r>
        <w:separator/>
      </w:r>
    </w:p>
  </w:endnote>
  <w:endnote w:type="continuationSeparator" w:id="0">
    <w:p w14:paraId="1429E30A" w14:textId="77777777" w:rsidR="007B4408" w:rsidRDefault="007B4408" w:rsidP="00AD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1B20" w14:textId="77777777" w:rsidR="007B4408" w:rsidRDefault="007B4408" w:rsidP="00AD4507">
      <w:r>
        <w:separator/>
      </w:r>
    </w:p>
  </w:footnote>
  <w:footnote w:type="continuationSeparator" w:id="0">
    <w:p w14:paraId="3B7CC7BE" w14:textId="77777777" w:rsidR="007B4408" w:rsidRDefault="007B4408" w:rsidP="00AD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DDD9C3"/>
        <w:left w:val="single" w:sz="4" w:space="0" w:color="DDD9C3"/>
        <w:bottom w:val="single" w:sz="4" w:space="0" w:color="DDD9C3"/>
        <w:right w:val="single" w:sz="4" w:space="0" w:color="DDD9C3"/>
        <w:insideH w:val="single" w:sz="4" w:space="0" w:color="DDD9C3"/>
        <w:insideV w:val="single" w:sz="4" w:space="0" w:color="DDD9C3"/>
      </w:tblBorders>
      <w:tblLook w:val="04A0" w:firstRow="1" w:lastRow="0" w:firstColumn="1" w:lastColumn="0" w:noHBand="0" w:noVBand="1"/>
    </w:tblPr>
    <w:tblGrid>
      <w:gridCol w:w="5508"/>
      <w:gridCol w:w="2132"/>
    </w:tblGrid>
    <w:tr w:rsidR="00C51F76" w:rsidRPr="0049514D" w14:paraId="707C30CB" w14:textId="77777777" w:rsidTr="006E7BCF">
      <w:tc>
        <w:tcPr>
          <w:tcW w:w="8075" w:type="dxa"/>
        </w:tcPr>
        <w:p w14:paraId="45354CBB" w14:textId="77777777" w:rsidR="00C51F76" w:rsidRPr="0049514D" w:rsidRDefault="00C51F76" w:rsidP="00AD4507">
          <w:pPr>
            <w:pStyle w:val="Header"/>
          </w:pPr>
          <w:r>
            <w:t>WORD TEMPLATE FOR GENERIC PAGE - ENGLISH</w:t>
          </w:r>
        </w:p>
      </w:tc>
      <w:tc>
        <w:tcPr>
          <w:tcW w:w="2715" w:type="dxa"/>
        </w:tcPr>
        <w:p w14:paraId="28CD8BE2" w14:textId="77777777" w:rsidR="00C51F76" w:rsidRPr="0049514D" w:rsidRDefault="00C51F76" w:rsidP="00AD4507">
          <w:pPr>
            <w:pStyle w:val="Header"/>
          </w:pPr>
          <w:r>
            <w:t xml:space="preserve">Template </w:t>
          </w:r>
          <w:r w:rsidRPr="0049514D">
            <w:t>V</w:t>
          </w:r>
          <w:r>
            <w:t>ersion: 1</w:t>
          </w:r>
          <w:r w:rsidRPr="0049514D">
            <w:t>.</w:t>
          </w:r>
          <w:r>
            <w:t>3.1.0</w:t>
          </w:r>
        </w:p>
      </w:tc>
    </w:tr>
  </w:tbl>
  <w:p w14:paraId="6768D7D3" w14:textId="77777777" w:rsidR="00C51F76" w:rsidRPr="0026200D" w:rsidRDefault="00C51F76" w:rsidP="00AD4507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D895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802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ACF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DC7B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C1F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ECA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708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C8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587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2ED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2344E"/>
    <w:multiLevelType w:val="multilevel"/>
    <w:tmpl w:val="98A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BF256B"/>
    <w:multiLevelType w:val="hybridMultilevel"/>
    <w:tmpl w:val="83EEE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C6908"/>
    <w:multiLevelType w:val="hybridMultilevel"/>
    <w:tmpl w:val="4678CC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EE6FCB"/>
    <w:multiLevelType w:val="hybridMultilevel"/>
    <w:tmpl w:val="316C6D5C"/>
    <w:lvl w:ilvl="0" w:tplc="F74480D8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232BFE"/>
    <w:multiLevelType w:val="multilevel"/>
    <w:tmpl w:val="D5B8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CE08C9"/>
    <w:multiLevelType w:val="multilevel"/>
    <w:tmpl w:val="69D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A07EAE"/>
    <w:multiLevelType w:val="hybridMultilevel"/>
    <w:tmpl w:val="577CB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C53636"/>
    <w:multiLevelType w:val="hybridMultilevel"/>
    <w:tmpl w:val="04B60AB8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0EC83673"/>
    <w:multiLevelType w:val="hybridMultilevel"/>
    <w:tmpl w:val="34AACB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ED3C72"/>
    <w:multiLevelType w:val="hybridMultilevel"/>
    <w:tmpl w:val="3438913A"/>
    <w:lvl w:ilvl="0" w:tplc="D6484148">
      <w:start w:val="1"/>
      <w:numFmt w:val="decimal"/>
      <w:lvlText w:val="%1."/>
      <w:lvlJc w:val="left"/>
      <w:pPr>
        <w:ind w:left="2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B3BCBB1E">
      <w:start w:val="1"/>
      <w:numFmt w:val="lowerLetter"/>
      <w:lvlText w:val="(%2)"/>
      <w:lvlJc w:val="left"/>
      <w:pPr>
        <w:ind w:left="591" w:hanging="360"/>
      </w:pPr>
      <w:rPr>
        <w:rFonts w:ascii="Times New Roman" w:eastAsia="Times New Roman" w:hAnsi="Times New Roman" w:cs="Times New Roman" w:hint="default"/>
        <w:i/>
        <w:spacing w:val="-2"/>
        <w:w w:val="100"/>
        <w:sz w:val="22"/>
        <w:szCs w:val="22"/>
        <w:lang w:val="en-US" w:eastAsia="en-US" w:bidi="en-US"/>
      </w:rPr>
    </w:lvl>
    <w:lvl w:ilvl="2" w:tplc="1DAA8C78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en-US"/>
      </w:rPr>
    </w:lvl>
    <w:lvl w:ilvl="3" w:tplc="5EC65982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en-US"/>
      </w:rPr>
    </w:lvl>
    <w:lvl w:ilvl="4" w:tplc="250E17C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5" w:tplc="A7AAB804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en-US"/>
      </w:rPr>
    </w:lvl>
    <w:lvl w:ilvl="6" w:tplc="0CF20ADC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en-US"/>
      </w:rPr>
    </w:lvl>
    <w:lvl w:ilvl="7" w:tplc="06402C1E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en-US"/>
      </w:rPr>
    </w:lvl>
    <w:lvl w:ilvl="8" w:tplc="CE54E8D4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12282EDA"/>
    <w:multiLevelType w:val="hybridMultilevel"/>
    <w:tmpl w:val="511E51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2036E"/>
    <w:multiLevelType w:val="hybridMultilevel"/>
    <w:tmpl w:val="A18E6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A245C5"/>
    <w:multiLevelType w:val="multilevel"/>
    <w:tmpl w:val="B1F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CE3358"/>
    <w:multiLevelType w:val="multilevel"/>
    <w:tmpl w:val="24FC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8836E3"/>
    <w:multiLevelType w:val="hybridMultilevel"/>
    <w:tmpl w:val="3616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3C27FF"/>
    <w:multiLevelType w:val="hybridMultilevel"/>
    <w:tmpl w:val="463245A4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017A8B"/>
    <w:multiLevelType w:val="hybridMultilevel"/>
    <w:tmpl w:val="F1061786"/>
    <w:lvl w:ilvl="0" w:tplc="10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49B0680"/>
    <w:multiLevelType w:val="hybridMultilevel"/>
    <w:tmpl w:val="080C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517A1B"/>
    <w:multiLevelType w:val="hybridMultilevel"/>
    <w:tmpl w:val="3E9AFE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A26BF2"/>
    <w:multiLevelType w:val="hybridMultilevel"/>
    <w:tmpl w:val="E4842A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AB32F5"/>
    <w:multiLevelType w:val="hybridMultilevel"/>
    <w:tmpl w:val="17C428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70C0E74"/>
    <w:multiLevelType w:val="multilevel"/>
    <w:tmpl w:val="6928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6165CA"/>
    <w:multiLevelType w:val="multilevel"/>
    <w:tmpl w:val="24FC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E1026E"/>
    <w:multiLevelType w:val="hybridMultilevel"/>
    <w:tmpl w:val="C074C91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9169D"/>
    <w:multiLevelType w:val="multilevel"/>
    <w:tmpl w:val="63D0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522950"/>
    <w:multiLevelType w:val="hybridMultilevel"/>
    <w:tmpl w:val="2A4AD2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22107"/>
    <w:multiLevelType w:val="hybridMultilevel"/>
    <w:tmpl w:val="61DC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C0DF0"/>
    <w:multiLevelType w:val="hybridMultilevel"/>
    <w:tmpl w:val="4B207546"/>
    <w:lvl w:ilvl="0" w:tplc="4118B1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46F3F"/>
    <w:multiLevelType w:val="hybridMultilevel"/>
    <w:tmpl w:val="734210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035DA"/>
    <w:multiLevelType w:val="hybridMultilevel"/>
    <w:tmpl w:val="503C6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E02156"/>
    <w:multiLevelType w:val="multilevel"/>
    <w:tmpl w:val="31E8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023768"/>
    <w:multiLevelType w:val="hybridMultilevel"/>
    <w:tmpl w:val="A7560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242DA"/>
    <w:multiLevelType w:val="hybridMultilevel"/>
    <w:tmpl w:val="B33452B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24025"/>
    <w:multiLevelType w:val="multilevel"/>
    <w:tmpl w:val="268E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C721C"/>
    <w:multiLevelType w:val="hybridMultilevel"/>
    <w:tmpl w:val="BF2C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17D36"/>
    <w:multiLevelType w:val="multilevel"/>
    <w:tmpl w:val="B688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D5010D"/>
    <w:multiLevelType w:val="hybridMultilevel"/>
    <w:tmpl w:val="ECDC51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1009000F">
      <w:start w:val="1"/>
      <w:numFmt w:val="decimal"/>
      <w:lvlText w:val="%3."/>
      <w:lvlJc w:val="lef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262233"/>
    <w:multiLevelType w:val="hybridMultilevel"/>
    <w:tmpl w:val="22E8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3F29F9"/>
    <w:multiLevelType w:val="hybridMultilevel"/>
    <w:tmpl w:val="BE1CD7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D41C4"/>
    <w:multiLevelType w:val="hybridMultilevel"/>
    <w:tmpl w:val="8F5C4B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38031">
    <w:abstractNumId w:val="31"/>
  </w:num>
  <w:num w:numId="2" w16cid:durableId="1427505281">
    <w:abstractNumId w:val="43"/>
  </w:num>
  <w:num w:numId="3" w16cid:durableId="1796752730">
    <w:abstractNumId w:val="22"/>
  </w:num>
  <w:num w:numId="4" w16cid:durableId="912588998">
    <w:abstractNumId w:val="34"/>
  </w:num>
  <w:num w:numId="5" w16cid:durableId="281153308">
    <w:abstractNumId w:val="10"/>
  </w:num>
  <w:num w:numId="6" w16cid:durableId="1365137989">
    <w:abstractNumId w:val="15"/>
  </w:num>
  <w:num w:numId="7" w16cid:durableId="127626264">
    <w:abstractNumId w:val="16"/>
  </w:num>
  <w:num w:numId="8" w16cid:durableId="1454715716">
    <w:abstractNumId w:val="36"/>
  </w:num>
  <w:num w:numId="9" w16cid:durableId="31881916">
    <w:abstractNumId w:val="29"/>
  </w:num>
  <w:num w:numId="10" w16cid:durableId="1872108124">
    <w:abstractNumId w:val="9"/>
  </w:num>
  <w:num w:numId="11" w16cid:durableId="1582986360">
    <w:abstractNumId w:val="7"/>
  </w:num>
  <w:num w:numId="12" w16cid:durableId="848107403">
    <w:abstractNumId w:val="6"/>
  </w:num>
  <w:num w:numId="13" w16cid:durableId="1405762805">
    <w:abstractNumId w:val="5"/>
  </w:num>
  <w:num w:numId="14" w16cid:durableId="1902054620">
    <w:abstractNumId w:val="4"/>
  </w:num>
  <w:num w:numId="15" w16cid:durableId="1139105829">
    <w:abstractNumId w:val="8"/>
  </w:num>
  <w:num w:numId="16" w16cid:durableId="2090298787">
    <w:abstractNumId w:val="3"/>
  </w:num>
  <w:num w:numId="17" w16cid:durableId="1248921306">
    <w:abstractNumId w:val="2"/>
  </w:num>
  <w:num w:numId="18" w16cid:durableId="165826578">
    <w:abstractNumId w:val="1"/>
  </w:num>
  <w:num w:numId="19" w16cid:durableId="331374025">
    <w:abstractNumId w:val="0"/>
  </w:num>
  <w:num w:numId="20" w16cid:durableId="1206285785">
    <w:abstractNumId w:val="32"/>
  </w:num>
  <w:num w:numId="21" w16cid:durableId="982848310">
    <w:abstractNumId w:val="47"/>
  </w:num>
  <w:num w:numId="22" w16cid:durableId="1796363665">
    <w:abstractNumId w:val="23"/>
  </w:num>
  <w:num w:numId="23" w16cid:durableId="2098285450">
    <w:abstractNumId w:val="13"/>
  </w:num>
  <w:num w:numId="24" w16cid:durableId="18556195">
    <w:abstractNumId w:val="24"/>
  </w:num>
  <w:num w:numId="25" w16cid:durableId="25572023">
    <w:abstractNumId w:val="44"/>
  </w:num>
  <w:num w:numId="26" w16cid:durableId="799346507">
    <w:abstractNumId w:val="27"/>
  </w:num>
  <w:num w:numId="27" w16cid:durableId="1507944112">
    <w:abstractNumId w:val="48"/>
  </w:num>
  <w:num w:numId="28" w16cid:durableId="450825858">
    <w:abstractNumId w:val="41"/>
  </w:num>
  <w:num w:numId="29" w16cid:durableId="1822885956">
    <w:abstractNumId w:val="12"/>
  </w:num>
  <w:num w:numId="30" w16cid:durableId="581914319">
    <w:abstractNumId w:val="46"/>
  </w:num>
  <w:num w:numId="31" w16cid:durableId="570308712">
    <w:abstractNumId w:val="26"/>
  </w:num>
  <w:num w:numId="32" w16cid:durableId="1869028951">
    <w:abstractNumId w:val="18"/>
  </w:num>
  <w:num w:numId="33" w16cid:durableId="69892405">
    <w:abstractNumId w:val="39"/>
  </w:num>
  <w:num w:numId="34" w16cid:durableId="2022198751">
    <w:abstractNumId w:val="49"/>
  </w:num>
  <w:num w:numId="35" w16cid:durableId="642469740">
    <w:abstractNumId w:val="21"/>
  </w:num>
  <w:num w:numId="36" w16cid:durableId="24526982">
    <w:abstractNumId w:val="17"/>
  </w:num>
  <w:num w:numId="37" w16cid:durableId="519244154">
    <w:abstractNumId w:val="45"/>
  </w:num>
  <w:num w:numId="38" w16cid:durableId="1994019018">
    <w:abstractNumId w:val="14"/>
  </w:num>
  <w:num w:numId="39" w16cid:durableId="307395520">
    <w:abstractNumId w:val="37"/>
  </w:num>
  <w:num w:numId="40" w16cid:durableId="1106582952">
    <w:abstractNumId w:val="19"/>
  </w:num>
  <w:num w:numId="41" w16cid:durableId="593363624">
    <w:abstractNumId w:val="25"/>
  </w:num>
  <w:num w:numId="42" w16cid:durableId="613175299">
    <w:abstractNumId w:val="40"/>
  </w:num>
  <w:num w:numId="43" w16cid:durableId="1525902034">
    <w:abstractNumId w:val="35"/>
  </w:num>
  <w:num w:numId="44" w16cid:durableId="962274958">
    <w:abstractNumId w:val="33"/>
  </w:num>
  <w:num w:numId="45" w16cid:durableId="444810864">
    <w:abstractNumId w:val="42"/>
  </w:num>
  <w:num w:numId="46" w16cid:durableId="628127162">
    <w:abstractNumId w:val="30"/>
  </w:num>
  <w:num w:numId="47" w16cid:durableId="196507662">
    <w:abstractNumId w:val="11"/>
  </w:num>
  <w:num w:numId="48" w16cid:durableId="1632326393">
    <w:abstractNumId w:val="38"/>
  </w:num>
  <w:num w:numId="49" w16cid:durableId="224026914">
    <w:abstractNumId w:val="20"/>
  </w:num>
  <w:num w:numId="50" w16cid:durableId="87759527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76"/>
    <w:rsid w:val="00004694"/>
    <w:rsid w:val="00004F97"/>
    <w:rsid w:val="000149E4"/>
    <w:rsid w:val="00020F06"/>
    <w:rsid w:val="000225AB"/>
    <w:rsid w:val="00022B16"/>
    <w:rsid w:val="0002354A"/>
    <w:rsid w:val="00023A25"/>
    <w:rsid w:val="00025596"/>
    <w:rsid w:val="00032CD2"/>
    <w:rsid w:val="00033DB1"/>
    <w:rsid w:val="00035D4B"/>
    <w:rsid w:val="000361C3"/>
    <w:rsid w:val="00041C5C"/>
    <w:rsid w:val="0004220E"/>
    <w:rsid w:val="00043203"/>
    <w:rsid w:val="00051CE3"/>
    <w:rsid w:val="00053068"/>
    <w:rsid w:val="0005671D"/>
    <w:rsid w:val="00066302"/>
    <w:rsid w:val="000679A0"/>
    <w:rsid w:val="00070D59"/>
    <w:rsid w:val="00071144"/>
    <w:rsid w:val="0007208F"/>
    <w:rsid w:val="00072A44"/>
    <w:rsid w:val="00072BD0"/>
    <w:rsid w:val="0007326F"/>
    <w:rsid w:val="000801C1"/>
    <w:rsid w:val="0008161C"/>
    <w:rsid w:val="00082D0E"/>
    <w:rsid w:val="00083927"/>
    <w:rsid w:val="000860CA"/>
    <w:rsid w:val="0009184F"/>
    <w:rsid w:val="00095F78"/>
    <w:rsid w:val="000A2313"/>
    <w:rsid w:val="000A2427"/>
    <w:rsid w:val="000A708F"/>
    <w:rsid w:val="000A7668"/>
    <w:rsid w:val="000A7760"/>
    <w:rsid w:val="000B2497"/>
    <w:rsid w:val="000B3FE5"/>
    <w:rsid w:val="000B522A"/>
    <w:rsid w:val="000B52AB"/>
    <w:rsid w:val="000B6CCA"/>
    <w:rsid w:val="000C05A6"/>
    <w:rsid w:val="000C0940"/>
    <w:rsid w:val="000C0A45"/>
    <w:rsid w:val="000C126F"/>
    <w:rsid w:val="000C1D60"/>
    <w:rsid w:val="000C4274"/>
    <w:rsid w:val="000C7E8E"/>
    <w:rsid w:val="000D3EFE"/>
    <w:rsid w:val="000D4F1E"/>
    <w:rsid w:val="000D792C"/>
    <w:rsid w:val="000E19EC"/>
    <w:rsid w:val="000E21E1"/>
    <w:rsid w:val="000F333A"/>
    <w:rsid w:val="000F6DD5"/>
    <w:rsid w:val="00107627"/>
    <w:rsid w:val="00110E38"/>
    <w:rsid w:val="001127CD"/>
    <w:rsid w:val="0011283A"/>
    <w:rsid w:val="00121451"/>
    <w:rsid w:val="00121DAE"/>
    <w:rsid w:val="0012363E"/>
    <w:rsid w:val="00125DFE"/>
    <w:rsid w:val="0013015C"/>
    <w:rsid w:val="00131B15"/>
    <w:rsid w:val="0013384D"/>
    <w:rsid w:val="00136C02"/>
    <w:rsid w:val="00136F9C"/>
    <w:rsid w:val="00137E47"/>
    <w:rsid w:val="001415BF"/>
    <w:rsid w:val="00143033"/>
    <w:rsid w:val="00143CE9"/>
    <w:rsid w:val="001440FD"/>
    <w:rsid w:val="00145EC0"/>
    <w:rsid w:val="00146BFC"/>
    <w:rsid w:val="0015242B"/>
    <w:rsid w:val="0015424B"/>
    <w:rsid w:val="001566C3"/>
    <w:rsid w:val="00156916"/>
    <w:rsid w:val="00156C6F"/>
    <w:rsid w:val="001616D4"/>
    <w:rsid w:val="00163B9A"/>
    <w:rsid w:val="00163C6C"/>
    <w:rsid w:val="00165196"/>
    <w:rsid w:val="001659D6"/>
    <w:rsid w:val="001674A6"/>
    <w:rsid w:val="00170CB7"/>
    <w:rsid w:val="001718BB"/>
    <w:rsid w:val="001721E7"/>
    <w:rsid w:val="001724A4"/>
    <w:rsid w:val="00173CD2"/>
    <w:rsid w:val="00175A65"/>
    <w:rsid w:val="00175BCE"/>
    <w:rsid w:val="001809E0"/>
    <w:rsid w:val="00181D4E"/>
    <w:rsid w:val="00182979"/>
    <w:rsid w:val="001845A7"/>
    <w:rsid w:val="0018725B"/>
    <w:rsid w:val="001879B1"/>
    <w:rsid w:val="001913F3"/>
    <w:rsid w:val="001953CE"/>
    <w:rsid w:val="00195BD5"/>
    <w:rsid w:val="0019661C"/>
    <w:rsid w:val="001967E8"/>
    <w:rsid w:val="0019794F"/>
    <w:rsid w:val="001A0557"/>
    <w:rsid w:val="001A07A7"/>
    <w:rsid w:val="001A45EE"/>
    <w:rsid w:val="001A6D97"/>
    <w:rsid w:val="001B3123"/>
    <w:rsid w:val="001B570E"/>
    <w:rsid w:val="001C0EA1"/>
    <w:rsid w:val="001C353F"/>
    <w:rsid w:val="001C3D41"/>
    <w:rsid w:val="001C5161"/>
    <w:rsid w:val="001C518B"/>
    <w:rsid w:val="001C5738"/>
    <w:rsid w:val="001C645B"/>
    <w:rsid w:val="001C6D44"/>
    <w:rsid w:val="001C7459"/>
    <w:rsid w:val="001D1E23"/>
    <w:rsid w:val="001D2D74"/>
    <w:rsid w:val="001D40BE"/>
    <w:rsid w:val="001D4F21"/>
    <w:rsid w:val="001D64B0"/>
    <w:rsid w:val="001D7289"/>
    <w:rsid w:val="001E06C3"/>
    <w:rsid w:val="001E18B6"/>
    <w:rsid w:val="001E419E"/>
    <w:rsid w:val="001E432E"/>
    <w:rsid w:val="001E57A5"/>
    <w:rsid w:val="001F12BC"/>
    <w:rsid w:val="001F5084"/>
    <w:rsid w:val="001F7608"/>
    <w:rsid w:val="00201129"/>
    <w:rsid w:val="0020276D"/>
    <w:rsid w:val="002044EB"/>
    <w:rsid w:val="00206553"/>
    <w:rsid w:val="00211A28"/>
    <w:rsid w:val="00213A59"/>
    <w:rsid w:val="002161BF"/>
    <w:rsid w:val="00217762"/>
    <w:rsid w:val="0022010E"/>
    <w:rsid w:val="00224B1F"/>
    <w:rsid w:val="00227914"/>
    <w:rsid w:val="00231BA7"/>
    <w:rsid w:val="00235B85"/>
    <w:rsid w:val="002409C5"/>
    <w:rsid w:val="002409D4"/>
    <w:rsid w:val="00242159"/>
    <w:rsid w:val="0024426D"/>
    <w:rsid w:val="002479FA"/>
    <w:rsid w:val="002503C7"/>
    <w:rsid w:val="002526DA"/>
    <w:rsid w:val="00256ACD"/>
    <w:rsid w:val="002600B7"/>
    <w:rsid w:val="0026200D"/>
    <w:rsid w:val="00265B94"/>
    <w:rsid w:val="00267967"/>
    <w:rsid w:val="00267A11"/>
    <w:rsid w:val="0027177F"/>
    <w:rsid w:val="002753F0"/>
    <w:rsid w:val="00281D8D"/>
    <w:rsid w:val="002848AE"/>
    <w:rsid w:val="00290DD3"/>
    <w:rsid w:val="00293BE0"/>
    <w:rsid w:val="00294646"/>
    <w:rsid w:val="00294DC9"/>
    <w:rsid w:val="00296FE2"/>
    <w:rsid w:val="002A0747"/>
    <w:rsid w:val="002A0E5E"/>
    <w:rsid w:val="002A28D0"/>
    <w:rsid w:val="002A5637"/>
    <w:rsid w:val="002B04C9"/>
    <w:rsid w:val="002B15EF"/>
    <w:rsid w:val="002B2C03"/>
    <w:rsid w:val="002C0775"/>
    <w:rsid w:val="002C1184"/>
    <w:rsid w:val="002C1D31"/>
    <w:rsid w:val="002C3A6B"/>
    <w:rsid w:val="002C5BF3"/>
    <w:rsid w:val="002C6FA9"/>
    <w:rsid w:val="002D0D64"/>
    <w:rsid w:val="002D2409"/>
    <w:rsid w:val="002D2547"/>
    <w:rsid w:val="002D3CA7"/>
    <w:rsid w:val="002D44CC"/>
    <w:rsid w:val="002D6EB0"/>
    <w:rsid w:val="002E31E1"/>
    <w:rsid w:val="002E4C3A"/>
    <w:rsid w:val="002E7E6C"/>
    <w:rsid w:val="002F00AE"/>
    <w:rsid w:val="002F1808"/>
    <w:rsid w:val="002F4B46"/>
    <w:rsid w:val="002F4E78"/>
    <w:rsid w:val="002F7ED6"/>
    <w:rsid w:val="00300777"/>
    <w:rsid w:val="00302F5C"/>
    <w:rsid w:val="00303A14"/>
    <w:rsid w:val="003062C7"/>
    <w:rsid w:val="00306A2A"/>
    <w:rsid w:val="0031002C"/>
    <w:rsid w:val="00311705"/>
    <w:rsid w:val="00312999"/>
    <w:rsid w:val="00312BBA"/>
    <w:rsid w:val="00321C5C"/>
    <w:rsid w:val="00323C77"/>
    <w:rsid w:val="00323C9F"/>
    <w:rsid w:val="00324765"/>
    <w:rsid w:val="00324A92"/>
    <w:rsid w:val="0032745C"/>
    <w:rsid w:val="0033049C"/>
    <w:rsid w:val="00331974"/>
    <w:rsid w:val="00331A90"/>
    <w:rsid w:val="00334FAE"/>
    <w:rsid w:val="0033502C"/>
    <w:rsid w:val="003351B2"/>
    <w:rsid w:val="0033529C"/>
    <w:rsid w:val="00335300"/>
    <w:rsid w:val="00341519"/>
    <w:rsid w:val="00345798"/>
    <w:rsid w:val="003465B4"/>
    <w:rsid w:val="00346C72"/>
    <w:rsid w:val="00353ED7"/>
    <w:rsid w:val="003600F1"/>
    <w:rsid w:val="003608DE"/>
    <w:rsid w:val="003614F3"/>
    <w:rsid w:val="00361667"/>
    <w:rsid w:val="0036597F"/>
    <w:rsid w:val="00370AAB"/>
    <w:rsid w:val="00374644"/>
    <w:rsid w:val="00383223"/>
    <w:rsid w:val="00385A58"/>
    <w:rsid w:val="00386019"/>
    <w:rsid w:val="00386278"/>
    <w:rsid w:val="003960DC"/>
    <w:rsid w:val="003962BA"/>
    <w:rsid w:val="003A044A"/>
    <w:rsid w:val="003A189B"/>
    <w:rsid w:val="003A199E"/>
    <w:rsid w:val="003A24E6"/>
    <w:rsid w:val="003A3AE9"/>
    <w:rsid w:val="003A4334"/>
    <w:rsid w:val="003A538D"/>
    <w:rsid w:val="003B116B"/>
    <w:rsid w:val="003B2869"/>
    <w:rsid w:val="003B3F8A"/>
    <w:rsid w:val="003B47E1"/>
    <w:rsid w:val="003B4F2F"/>
    <w:rsid w:val="003B5700"/>
    <w:rsid w:val="003B5C6F"/>
    <w:rsid w:val="003B6A71"/>
    <w:rsid w:val="003C13CA"/>
    <w:rsid w:val="003C14DD"/>
    <w:rsid w:val="003C6A85"/>
    <w:rsid w:val="003D008B"/>
    <w:rsid w:val="003D578C"/>
    <w:rsid w:val="003E2A7A"/>
    <w:rsid w:val="003E4ACD"/>
    <w:rsid w:val="003E622A"/>
    <w:rsid w:val="003E77DD"/>
    <w:rsid w:val="003F09EA"/>
    <w:rsid w:val="003F2BCE"/>
    <w:rsid w:val="00400618"/>
    <w:rsid w:val="00404B4B"/>
    <w:rsid w:val="00414D92"/>
    <w:rsid w:val="00414F80"/>
    <w:rsid w:val="00426CC6"/>
    <w:rsid w:val="00431577"/>
    <w:rsid w:val="0043576A"/>
    <w:rsid w:val="00437FFB"/>
    <w:rsid w:val="00442708"/>
    <w:rsid w:val="00444EF2"/>
    <w:rsid w:val="004479DE"/>
    <w:rsid w:val="00450B65"/>
    <w:rsid w:val="00456CFF"/>
    <w:rsid w:val="00461D8E"/>
    <w:rsid w:val="00465B96"/>
    <w:rsid w:val="00473E7C"/>
    <w:rsid w:val="0047431F"/>
    <w:rsid w:val="0047580B"/>
    <w:rsid w:val="00475A5E"/>
    <w:rsid w:val="00483FD8"/>
    <w:rsid w:val="00487FAC"/>
    <w:rsid w:val="004903AA"/>
    <w:rsid w:val="004916C9"/>
    <w:rsid w:val="00493CB6"/>
    <w:rsid w:val="0049502C"/>
    <w:rsid w:val="0049514D"/>
    <w:rsid w:val="004959C0"/>
    <w:rsid w:val="00497210"/>
    <w:rsid w:val="004A00F7"/>
    <w:rsid w:val="004A07FC"/>
    <w:rsid w:val="004A1C30"/>
    <w:rsid w:val="004A4857"/>
    <w:rsid w:val="004B22C5"/>
    <w:rsid w:val="004B2452"/>
    <w:rsid w:val="004B65D3"/>
    <w:rsid w:val="004C2839"/>
    <w:rsid w:val="004C5051"/>
    <w:rsid w:val="004C553E"/>
    <w:rsid w:val="004C70CF"/>
    <w:rsid w:val="004C7628"/>
    <w:rsid w:val="004C7D1E"/>
    <w:rsid w:val="004D1F5A"/>
    <w:rsid w:val="004D252F"/>
    <w:rsid w:val="004D3E82"/>
    <w:rsid w:val="004D48BD"/>
    <w:rsid w:val="004E15A8"/>
    <w:rsid w:val="004E1F8A"/>
    <w:rsid w:val="004E353D"/>
    <w:rsid w:val="004E49ED"/>
    <w:rsid w:val="004E7C79"/>
    <w:rsid w:val="004F1229"/>
    <w:rsid w:val="004F6306"/>
    <w:rsid w:val="0050375D"/>
    <w:rsid w:val="0050400B"/>
    <w:rsid w:val="00504562"/>
    <w:rsid w:val="00504B7A"/>
    <w:rsid w:val="00506514"/>
    <w:rsid w:val="005068EF"/>
    <w:rsid w:val="00506E92"/>
    <w:rsid w:val="00507D45"/>
    <w:rsid w:val="00510179"/>
    <w:rsid w:val="00511E22"/>
    <w:rsid w:val="00512C18"/>
    <w:rsid w:val="0051348A"/>
    <w:rsid w:val="005147BE"/>
    <w:rsid w:val="0051596C"/>
    <w:rsid w:val="00516128"/>
    <w:rsid w:val="00516801"/>
    <w:rsid w:val="00520652"/>
    <w:rsid w:val="0052081A"/>
    <w:rsid w:val="005221AF"/>
    <w:rsid w:val="00522261"/>
    <w:rsid w:val="005232A9"/>
    <w:rsid w:val="00523DFA"/>
    <w:rsid w:val="00523EAA"/>
    <w:rsid w:val="005269BB"/>
    <w:rsid w:val="00526A2B"/>
    <w:rsid w:val="0053184B"/>
    <w:rsid w:val="00532C57"/>
    <w:rsid w:val="00532C61"/>
    <w:rsid w:val="0053365E"/>
    <w:rsid w:val="005367C9"/>
    <w:rsid w:val="00541D0A"/>
    <w:rsid w:val="00542377"/>
    <w:rsid w:val="00544767"/>
    <w:rsid w:val="00553D70"/>
    <w:rsid w:val="005541A2"/>
    <w:rsid w:val="005600BD"/>
    <w:rsid w:val="005647DD"/>
    <w:rsid w:val="005651C1"/>
    <w:rsid w:val="00567D8E"/>
    <w:rsid w:val="00570BED"/>
    <w:rsid w:val="00571388"/>
    <w:rsid w:val="00572BF0"/>
    <w:rsid w:val="00575486"/>
    <w:rsid w:val="005766F8"/>
    <w:rsid w:val="00576BD2"/>
    <w:rsid w:val="00576EC9"/>
    <w:rsid w:val="00577373"/>
    <w:rsid w:val="005805C2"/>
    <w:rsid w:val="0058076B"/>
    <w:rsid w:val="005849A5"/>
    <w:rsid w:val="0059776D"/>
    <w:rsid w:val="005A07D1"/>
    <w:rsid w:val="005A3609"/>
    <w:rsid w:val="005A49DD"/>
    <w:rsid w:val="005A62E3"/>
    <w:rsid w:val="005B5503"/>
    <w:rsid w:val="005B739D"/>
    <w:rsid w:val="005B79A1"/>
    <w:rsid w:val="005C0078"/>
    <w:rsid w:val="005C0A98"/>
    <w:rsid w:val="005C1426"/>
    <w:rsid w:val="005E0C18"/>
    <w:rsid w:val="005E1B11"/>
    <w:rsid w:val="005E2FD3"/>
    <w:rsid w:val="005E4A8C"/>
    <w:rsid w:val="005F2BF9"/>
    <w:rsid w:val="005F2D65"/>
    <w:rsid w:val="005F5DA0"/>
    <w:rsid w:val="0060043F"/>
    <w:rsid w:val="00600578"/>
    <w:rsid w:val="0060440E"/>
    <w:rsid w:val="00606860"/>
    <w:rsid w:val="006079ED"/>
    <w:rsid w:val="006124B4"/>
    <w:rsid w:val="00620331"/>
    <w:rsid w:val="0062077D"/>
    <w:rsid w:val="0062224D"/>
    <w:rsid w:val="006229F0"/>
    <w:rsid w:val="006230EF"/>
    <w:rsid w:val="00624E07"/>
    <w:rsid w:val="00632338"/>
    <w:rsid w:val="006327F2"/>
    <w:rsid w:val="006358F9"/>
    <w:rsid w:val="00644186"/>
    <w:rsid w:val="00645A8D"/>
    <w:rsid w:val="00650D53"/>
    <w:rsid w:val="0065140C"/>
    <w:rsid w:val="006526A6"/>
    <w:rsid w:val="0065491B"/>
    <w:rsid w:val="006550B5"/>
    <w:rsid w:val="0065538B"/>
    <w:rsid w:val="00655526"/>
    <w:rsid w:val="006647CB"/>
    <w:rsid w:val="00664D32"/>
    <w:rsid w:val="006652F9"/>
    <w:rsid w:val="00666C20"/>
    <w:rsid w:val="006716EA"/>
    <w:rsid w:val="00671DDD"/>
    <w:rsid w:val="00674B48"/>
    <w:rsid w:val="006754FE"/>
    <w:rsid w:val="00676A75"/>
    <w:rsid w:val="00681434"/>
    <w:rsid w:val="00681744"/>
    <w:rsid w:val="00682AFA"/>
    <w:rsid w:val="00683089"/>
    <w:rsid w:val="0068372A"/>
    <w:rsid w:val="00683E75"/>
    <w:rsid w:val="00684A2F"/>
    <w:rsid w:val="00685606"/>
    <w:rsid w:val="00686294"/>
    <w:rsid w:val="0068637B"/>
    <w:rsid w:val="00692116"/>
    <w:rsid w:val="006948C6"/>
    <w:rsid w:val="00695BE5"/>
    <w:rsid w:val="006A13E9"/>
    <w:rsid w:val="006A484E"/>
    <w:rsid w:val="006A4A8D"/>
    <w:rsid w:val="006A670D"/>
    <w:rsid w:val="006B0E69"/>
    <w:rsid w:val="006B21A7"/>
    <w:rsid w:val="006B314D"/>
    <w:rsid w:val="006B3D08"/>
    <w:rsid w:val="006B5374"/>
    <w:rsid w:val="006B6EBD"/>
    <w:rsid w:val="006C0B8E"/>
    <w:rsid w:val="006C1097"/>
    <w:rsid w:val="006C37CA"/>
    <w:rsid w:val="006C3EE2"/>
    <w:rsid w:val="006D19EF"/>
    <w:rsid w:val="006D4952"/>
    <w:rsid w:val="006D67A9"/>
    <w:rsid w:val="006D7F52"/>
    <w:rsid w:val="006D7F58"/>
    <w:rsid w:val="006E0D3D"/>
    <w:rsid w:val="006E18F9"/>
    <w:rsid w:val="006E31DE"/>
    <w:rsid w:val="006E7BCF"/>
    <w:rsid w:val="006F13A3"/>
    <w:rsid w:val="006F1A51"/>
    <w:rsid w:val="006F3C46"/>
    <w:rsid w:val="006F620A"/>
    <w:rsid w:val="007004A2"/>
    <w:rsid w:val="00701DA9"/>
    <w:rsid w:val="00707511"/>
    <w:rsid w:val="007112C0"/>
    <w:rsid w:val="00711E14"/>
    <w:rsid w:val="0071241A"/>
    <w:rsid w:val="00712C53"/>
    <w:rsid w:val="00713534"/>
    <w:rsid w:val="007152C3"/>
    <w:rsid w:val="007174AC"/>
    <w:rsid w:val="00723045"/>
    <w:rsid w:val="00723496"/>
    <w:rsid w:val="00723604"/>
    <w:rsid w:val="007240E4"/>
    <w:rsid w:val="00725EC4"/>
    <w:rsid w:val="007271B5"/>
    <w:rsid w:val="00731650"/>
    <w:rsid w:val="00732160"/>
    <w:rsid w:val="007343E5"/>
    <w:rsid w:val="00736710"/>
    <w:rsid w:val="0073791E"/>
    <w:rsid w:val="00745D85"/>
    <w:rsid w:val="007466BE"/>
    <w:rsid w:val="0074672C"/>
    <w:rsid w:val="0075067C"/>
    <w:rsid w:val="00751873"/>
    <w:rsid w:val="007519E7"/>
    <w:rsid w:val="00751CD0"/>
    <w:rsid w:val="00751FF3"/>
    <w:rsid w:val="0075412A"/>
    <w:rsid w:val="00762373"/>
    <w:rsid w:val="0076677B"/>
    <w:rsid w:val="00771D8A"/>
    <w:rsid w:val="007728F4"/>
    <w:rsid w:val="00773DEF"/>
    <w:rsid w:val="007764C1"/>
    <w:rsid w:val="007836EE"/>
    <w:rsid w:val="00785673"/>
    <w:rsid w:val="0079010E"/>
    <w:rsid w:val="007A319E"/>
    <w:rsid w:val="007A4D99"/>
    <w:rsid w:val="007B4408"/>
    <w:rsid w:val="007C4141"/>
    <w:rsid w:val="007C510E"/>
    <w:rsid w:val="007C6E00"/>
    <w:rsid w:val="007D0E45"/>
    <w:rsid w:val="007D12EA"/>
    <w:rsid w:val="007D7B96"/>
    <w:rsid w:val="007E17D7"/>
    <w:rsid w:val="007E2530"/>
    <w:rsid w:val="007E41BA"/>
    <w:rsid w:val="007E6881"/>
    <w:rsid w:val="007E68F4"/>
    <w:rsid w:val="007F11A3"/>
    <w:rsid w:val="007F27AF"/>
    <w:rsid w:val="007F38EE"/>
    <w:rsid w:val="007F49E8"/>
    <w:rsid w:val="007F5E73"/>
    <w:rsid w:val="007F5F24"/>
    <w:rsid w:val="0080004A"/>
    <w:rsid w:val="008015E4"/>
    <w:rsid w:val="008037EF"/>
    <w:rsid w:val="00803B15"/>
    <w:rsid w:val="0080572D"/>
    <w:rsid w:val="00810720"/>
    <w:rsid w:val="00811362"/>
    <w:rsid w:val="0081254A"/>
    <w:rsid w:val="00813A57"/>
    <w:rsid w:val="008142AD"/>
    <w:rsid w:val="00814A3E"/>
    <w:rsid w:val="00815FB2"/>
    <w:rsid w:val="008163A7"/>
    <w:rsid w:val="00824275"/>
    <w:rsid w:val="008267A4"/>
    <w:rsid w:val="0082697F"/>
    <w:rsid w:val="0083001C"/>
    <w:rsid w:val="00830F51"/>
    <w:rsid w:val="0083259C"/>
    <w:rsid w:val="00832C55"/>
    <w:rsid w:val="00833540"/>
    <w:rsid w:val="0083451C"/>
    <w:rsid w:val="00834C64"/>
    <w:rsid w:val="0083680C"/>
    <w:rsid w:val="00840853"/>
    <w:rsid w:val="00842532"/>
    <w:rsid w:val="0084257B"/>
    <w:rsid w:val="00843FC5"/>
    <w:rsid w:val="0084456B"/>
    <w:rsid w:val="00844A1A"/>
    <w:rsid w:val="0084507A"/>
    <w:rsid w:val="00846F63"/>
    <w:rsid w:val="00852263"/>
    <w:rsid w:val="00854041"/>
    <w:rsid w:val="008554B5"/>
    <w:rsid w:val="0085553D"/>
    <w:rsid w:val="008565C2"/>
    <w:rsid w:val="008569BC"/>
    <w:rsid w:val="008656D5"/>
    <w:rsid w:val="0086587B"/>
    <w:rsid w:val="00871290"/>
    <w:rsid w:val="00873D52"/>
    <w:rsid w:val="00874FE5"/>
    <w:rsid w:val="008751BD"/>
    <w:rsid w:val="00875889"/>
    <w:rsid w:val="00877160"/>
    <w:rsid w:val="00877B5A"/>
    <w:rsid w:val="008814B8"/>
    <w:rsid w:val="008818F8"/>
    <w:rsid w:val="00881BA6"/>
    <w:rsid w:val="0088212F"/>
    <w:rsid w:val="00882C27"/>
    <w:rsid w:val="00883FAC"/>
    <w:rsid w:val="00883FCA"/>
    <w:rsid w:val="0088408F"/>
    <w:rsid w:val="00887586"/>
    <w:rsid w:val="00890782"/>
    <w:rsid w:val="00891089"/>
    <w:rsid w:val="0089174F"/>
    <w:rsid w:val="0089220F"/>
    <w:rsid w:val="00893BFD"/>
    <w:rsid w:val="00895207"/>
    <w:rsid w:val="00895EF8"/>
    <w:rsid w:val="00897D39"/>
    <w:rsid w:val="008A1CE6"/>
    <w:rsid w:val="008A3976"/>
    <w:rsid w:val="008A40F2"/>
    <w:rsid w:val="008A5AEC"/>
    <w:rsid w:val="008A7944"/>
    <w:rsid w:val="008B1FC0"/>
    <w:rsid w:val="008B226B"/>
    <w:rsid w:val="008B4332"/>
    <w:rsid w:val="008B5079"/>
    <w:rsid w:val="008B664B"/>
    <w:rsid w:val="008C0ED6"/>
    <w:rsid w:val="008C0FA2"/>
    <w:rsid w:val="008C2DC1"/>
    <w:rsid w:val="008C3075"/>
    <w:rsid w:val="008C7EB7"/>
    <w:rsid w:val="008D0AF7"/>
    <w:rsid w:val="008D1688"/>
    <w:rsid w:val="008D2706"/>
    <w:rsid w:val="008D2F95"/>
    <w:rsid w:val="008D3BE3"/>
    <w:rsid w:val="008D4286"/>
    <w:rsid w:val="008D480D"/>
    <w:rsid w:val="008E2B29"/>
    <w:rsid w:val="008E2E9A"/>
    <w:rsid w:val="008E4AA6"/>
    <w:rsid w:val="008E556E"/>
    <w:rsid w:val="008F0773"/>
    <w:rsid w:val="008F1373"/>
    <w:rsid w:val="008F4419"/>
    <w:rsid w:val="008F6D33"/>
    <w:rsid w:val="009006B8"/>
    <w:rsid w:val="009006C2"/>
    <w:rsid w:val="0090238A"/>
    <w:rsid w:val="00905064"/>
    <w:rsid w:val="00906BED"/>
    <w:rsid w:val="00910DDC"/>
    <w:rsid w:val="009133CD"/>
    <w:rsid w:val="00913C55"/>
    <w:rsid w:val="009146FF"/>
    <w:rsid w:val="00914835"/>
    <w:rsid w:val="00914D3E"/>
    <w:rsid w:val="00915008"/>
    <w:rsid w:val="00921C72"/>
    <w:rsid w:val="0092523F"/>
    <w:rsid w:val="009270A2"/>
    <w:rsid w:val="00930251"/>
    <w:rsid w:val="00931AA5"/>
    <w:rsid w:val="00932731"/>
    <w:rsid w:val="00933D51"/>
    <w:rsid w:val="00933F71"/>
    <w:rsid w:val="00935018"/>
    <w:rsid w:val="00936BD1"/>
    <w:rsid w:val="00936F13"/>
    <w:rsid w:val="0093770F"/>
    <w:rsid w:val="00940AED"/>
    <w:rsid w:val="009424D8"/>
    <w:rsid w:val="0094273B"/>
    <w:rsid w:val="00947873"/>
    <w:rsid w:val="00951685"/>
    <w:rsid w:val="00951F4E"/>
    <w:rsid w:val="00952F78"/>
    <w:rsid w:val="00955D44"/>
    <w:rsid w:val="00963F1E"/>
    <w:rsid w:val="00967D15"/>
    <w:rsid w:val="00971164"/>
    <w:rsid w:val="00971A46"/>
    <w:rsid w:val="009722A7"/>
    <w:rsid w:val="00974A9A"/>
    <w:rsid w:val="00974D35"/>
    <w:rsid w:val="009756E1"/>
    <w:rsid w:val="00976ECD"/>
    <w:rsid w:val="00980FBE"/>
    <w:rsid w:val="00991E21"/>
    <w:rsid w:val="009920AE"/>
    <w:rsid w:val="00992DF6"/>
    <w:rsid w:val="00993A27"/>
    <w:rsid w:val="00993D4F"/>
    <w:rsid w:val="00995629"/>
    <w:rsid w:val="00995BAB"/>
    <w:rsid w:val="00995DD8"/>
    <w:rsid w:val="009974F6"/>
    <w:rsid w:val="009A527F"/>
    <w:rsid w:val="009B050C"/>
    <w:rsid w:val="009B2958"/>
    <w:rsid w:val="009B360B"/>
    <w:rsid w:val="009B5894"/>
    <w:rsid w:val="009B6133"/>
    <w:rsid w:val="009B791D"/>
    <w:rsid w:val="009C03C3"/>
    <w:rsid w:val="009C2640"/>
    <w:rsid w:val="009C5676"/>
    <w:rsid w:val="009C5D33"/>
    <w:rsid w:val="009D058C"/>
    <w:rsid w:val="009D1093"/>
    <w:rsid w:val="009D3B22"/>
    <w:rsid w:val="009D49F6"/>
    <w:rsid w:val="009D5101"/>
    <w:rsid w:val="009D6022"/>
    <w:rsid w:val="009D68E2"/>
    <w:rsid w:val="009D7D88"/>
    <w:rsid w:val="009E08DC"/>
    <w:rsid w:val="009E1060"/>
    <w:rsid w:val="009E2E2B"/>
    <w:rsid w:val="009E75A6"/>
    <w:rsid w:val="009F42A4"/>
    <w:rsid w:val="009F458A"/>
    <w:rsid w:val="009F5A99"/>
    <w:rsid w:val="009F5B6C"/>
    <w:rsid w:val="009F79B3"/>
    <w:rsid w:val="00A01ECB"/>
    <w:rsid w:val="00A05944"/>
    <w:rsid w:val="00A06BDB"/>
    <w:rsid w:val="00A072CB"/>
    <w:rsid w:val="00A10E9D"/>
    <w:rsid w:val="00A11668"/>
    <w:rsid w:val="00A15D41"/>
    <w:rsid w:val="00A20143"/>
    <w:rsid w:val="00A2140F"/>
    <w:rsid w:val="00A21B73"/>
    <w:rsid w:val="00A21DB5"/>
    <w:rsid w:val="00A27505"/>
    <w:rsid w:val="00A302AB"/>
    <w:rsid w:val="00A32D51"/>
    <w:rsid w:val="00A33836"/>
    <w:rsid w:val="00A33AB8"/>
    <w:rsid w:val="00A3435E"/>
    <w:rsid w:val="00A36D81"/>
    <w:rsid w:val="00A37A7A"/>
    <w:rsid w:val="00A44454"/>
    <w:rsid w:val="00A452F9"/>
    <w:rsid w:val="00A460A0"/>
    <w:rsid w:val="00A46B34"/>
    <w:rsid w:val="00A5163D"/>
    <w:rsid w:val="00A559F2"/>
    <w:rsid w:val="00A55F2B"/>
    <w:rsid w:val="00A60D4D"/>
    <w:rsid w:val="00A612D7"/>
    <w:rsid w:val="00A669D6"/>
    <w:rsid w:val="00A702F1"/>
    <w:rsid w:val="00A72C13"/>
    <w:rsid w:val="00A74527"/>
    <w:rsid w:val="00A7566C"/>
    <w:rsid w:val="00A820ED"/>
    <w:rsid w:val="00A827F0"/>
    <w:rsid w:val="00A85CDE"/>
    <w:rsid w:val="00A93D15"/>
    <w:rsid w:val="00A944D5"/>
    <w:rsid w:val="00A94FF1"/>
    <w:rsid w:val="00A95106"/>
    <w:rsid w:val="00A954ED"/>
    <w:rsid w:val="00A95A12"/>
    <w:rsid w:val="00A97A93"/>
    <w:rsid w:val="00AA3773"/>
    <w:rsid w:val="00AA68A5"/>
    <w:rsid w:val="00AA7A3D"/>
    <w:rsid w:val="00AB1FF8"/>
    <w:rsid w:val="00AB2FB0"/>
    <w:rsid w:val="00AB356B"/>
    <w:rsid w:val="00AB75D6"/>
    <w:rsid w:val="00AC0E5B"/>
    <w:rsid w:val="00AC5068"/>
    <w:rsid w:val="00AD0D04"/>
    <w:rsid w:val="00AD2AE7"/>
    <w:rsid w:val="00AD4507"/>
    <w:rsid w:val="00AE02FF"/>
    <w:rsid w:val="00AE2A53"/>
    <w:rsid w:val="00AE31BB"/>
    <w:rsid w:val="00AE3F89"/>
    <w:rsid w:val="00AE4F2B"/>
    <w:rsid w:val="00AE52E3"/>
    <w:rsid w:val="00AE5F7A"/>
    <w:rsid w:val="00AE6BF9"/>
    <w:rsid w:val="00AF0245"/>
    <w:rsid w:val="00AF3752"/>
    <w:rsid w:val="00AF4FB8"/>
    <w:rsid w:val="00AF5120"/>
    <w:rsid w:val="00B00079"/>
    <w:rsid w:val="00B0009D"/>
    <w:rsid w:val="00B00A6F"/>
    <w:rsid w:val="00B00B7A"/>
    <w:rsid w:val="00B04A5B"/>
    <w:rsid w:val="00B04BC1"/>
    <w:rsid w:val="00B05E9F"/>
    <w:rsid w:val="00B06C2A"/>
    <w:rsid w:val="00B07DCA"/>
    <w:rsid w:val="00B12F39"/>
    <w:rsid w:val="00B16EB0"/>
    <w:rsid w:val="00B210C6"/>
    <w:rsid w:val="00B2286C"/>
    <w:rsid w:val="00B25E2F"/>
    <w:rsid w:val="00B330D8"/>
    <w:rsid w:val="00B35B84"/>
    <w:rsid w:val="00B35F37"/>
    <w:rsid w:val="00B3633A"/>
    <w:rsid w:val="00B36819"/>
    <w:rsid w:val="00B3754B"/>
    <w:rsid w:val="00B40D67"/>
    <w:rsid w:val="00B4170B"/>
    <w:rsid w:val="00B446D8"/>
    <w:rsid w:val="00B448A5"/>
    <w:rsid w:val="00B51757"/>
    <w:rsid w:val="00B51ED9"/>
    <w:rsid w:val="00B6009F"/>
    <w:rsid w:val="00B823BB"/>
    <w:rsid w:val="00B85DEA"/>
    <w:rsid w:val="00B86544"/>
    <w:rsid w:val="00B92CF8"/>
    <w:rsid w:val="00B93672"/>
    <w:rsid w:val="00B9436D"/>
    <w:rsid w:val="00B95900"/>
    <w:rsid w:val="00B96C77"/>
    <w:rsid w:val="00B96E5A"/>
    <w:rsid w:val="00BA0F2D"/>
    <w:rsid w:val="00BA183A"/>
    <w:rsid w:val="00BA1E66"/>
    <w:rsid w:val="00BA24F4"/>
    <w:rsid w:val="00BA7522"/>
    <w:rsid w:val="00BB3831"/>
    <w:rsid w:val="00BC017C"/>
    <w:rsid w:val="00BC335D"/>
    <w:rsid w:val="00BC50DD"/>
    <w:rsid w:val="00BC5BC7"/>
    <w:rsid w:val="00BC6C2B"/>
    <w:rsid w:val="00BD2527"/>
    <w:rsid w:val="00BD3243"/>
    <w:rsid w:val="00BD3922"/>
    <w:rsid w:val="00BD66C4"/>
    <w:rsid w:val="00BD7C50"/>
    <w:rsid w:val="00BE1EA5"/>
    <w:rsid w:val="00BE50EB"/>
    <w:rsid w:val="00BE52D3"/>
    <w:rsid w:val="00BE5734"/>
    <w:rsid w:val="00BE6519"/>
    <w:rsid w:val="00BE6975"/>
    <w:rsid w:val="00BF1399"/>
    <w:rsid w:val="00BF1943"/>
    <w:rsid w:val="00BF1EAA"/>
    <w:rsid w:val="00BF2EE6"/>
    <w:rsid w:val="00BF4B0C"/>
    <w:rsid w:val="00BF5947"/>
    <w:rsid w:val="00C00509"/>
    <w:rsid w:val="00C05BD2"/>
    <w:rsid w:val="00C07912"/>
    <w:rsid w:val="00C1177D"/>
    <w:rsid w:val="00C11792"/>
    <w:rsid w:val="00C13A4E"/>
    <w:rsid w:val="00C2064B"/>
    <w:rsid w:val="00C210FB"/>
    <w:rsid w:val="00C24FB4"/>
    <w:rsid w:val="00C3102A"/>
    <w:rsid w:val="00C34654"/>
    <w:rsid w:val="00C35382"/>
    <w:rsid w:val="00C372A1"/>
    <w:rsid w:val="00C4093F"/>
    <w:rsid w:val="00C42630"/>
    <w:rsid w:val="00C43209"/>
    <w:rsid w:val="00C44B40"/>
    <w:rsid w:val="00C47465"/>
    <w:rsid w:val="00C50042"/>
    <w:rsid w:val="00C51F76"/>
    <w:rsid w:val="00C5710A"/>
    <w:rsid w:val="00C60E9D"/>
    <w:rsid w:val="00C62ED3"/>
    <w:rsid w:val="00C636C5"/>
    <w:rsid w:val="00C64483"/>
    <w:rsid w:val="00C73F00"/>
    <w:rsid w:val="00C74E8B"/>
    <w:rsid w:val="00C75087"/>
    <w:rsid w:val="00C75235"/>
    <w:rsid w:val="00C76BDB"/>
    <w:rsid w:val="00C770E5"/>
    <w:rsid w:val="00C80331"/>
    <w:rsid w:val="00C8197C"/>
    <w:rsid w:val="00C847B1"/>
    <w:rsid w:val="00C90DF0"/>
    <w:rsid w:val="00C9256E"/>
    <w:rsid w:val="00C93829"/>
    <w:rsid w:val="00C95623"/>
    <w:rsid w:val="00CA5416"/>
    <w:rsid w:val="00CA65ED"/>
    <w:rsid w:val="00CB041D"/>
    <w:rsid w:val="00CB2443"/>
    <w:rsid w:val="00CC44C0"/>
    <w:rsid w:val="00CC60C4"/>
    <w:rsid w:val="00CC6780"/>
    <w:rsid w:val="00CC7F00"/>
    <w:rsid w:val="00CD1D13"/>
    <w:rsid w:val="00CD4840"/>
    <w:rsid w:val="00CD4AAC"/>
    <w:rsid w:val="00CD5F79"/>
    <w:rsid w:val="00CD637D"/>
    <w:rsid w:val="00CD6C00"/>
    <w:rsid w:val="00CD76C9"/>
    <w:rsid w:val="00CD77B4"/>
    <w:rsid w:val="00CD783E"/>
    <w:rsid w:val="00CE0F1C"/>
    <w:rsid w:val="00CE277C"/>
    <w:rsid w:val="00CE30AD"/>
    <w:rsid w:val="00CF4B69"/>
    <w:rsid w:val="00CF518F"/>
    <w:rsid w:val="00CF739F"/>
    <w:rsid w:val="00D004FB"/>
    <w:rsid w:val="00D01439"/>
    <w:rsid w:val="00D015EC"/>
    <w:rsid w:val="00D02963"/>
    <w:rsid w:val="00D03C14"/>
    <w:rsid w:val="00D07A0E"/>
    <w:rsid w:val="00D116BA"/>
    <w:rsid w:val="00D1375A"/>
    <w:rsid w:val="00D15AD6"/>
    <w:rsid w:val="00D20467"/>
    <w:rsid w:val="00D25916"/>
    <w:rsid w:val="00D25A74"/>
    <w:rsid w:val="00D269BA"/>
    <w:rsid w:val="00D26F2C"/>
    <w:rsid w:val="00D27AE6"/>
    <w:rsid w:val="00D301AC"/>
    <w:rsid w:val="00D320CB"/>
    <w:rsid w:val="00D3307B"/>
    <w:rsid w:val="00D34185"/>
    <w:rsid w:val="00D34352"/>
    <w:rsid w:val="00D4053A"/>
    <w:rsid w:val="00D43D54"/>
    <w:rsid w:val="00D43E3B"/>
    <w:rsid w:val="00D44687"/>
    <w:rsid w:val="00D46219"/>
    <w:rsid w:val="00D4680A"/>
    <w:rsid w:val="00D46F9C"/>
    <w:rsid w:val="00D56A57"/>
    <w:rsid w:val="00D57417"/>
    <w:rsid w:val="00D577FB"/>
    <w:rsid w:val="00D611B6"/>
    <w:rsid w:val="00D62C4F"/>
    <w:rsid w:val="00D70FAB"/>
    <w:rsid w:val="00D72275"/>
    <w:rsid w:val="00D726F4"/>
    <w:rsid w:val="00D73444"/>
    <w:rsid w:val="00D741D0"/>
    <w:rsid w:val="00D75788"/>
    <w:rsid w:val="00D823B3"/>
    <w:rsid w:val="00D83797"/>
    <w:rsid w:val="00D86665"/>
    <w:rsid w:val="00D910A8"/>
    <w:rsid w:val="00D9218D"/>
    <w:rsid w:val="00D92296"/>
    <w:rsid w:val="00D937DB"/>
    <w:rsid w:val="00D93B83"/>
    <w:rsid w:val="00D95104"/>
    <w:rsid w:val="00D95D2F"/>
    <w:rsid w:val="00D9686B"/>
    <w:rsid w:val="00DA15C5"/>
    <w:rsid w:val="00DA6F83"/>
    <w:rsid w:val="00DB15A2"/>
    <w:rsid w:val="00DB340A"/>
    <w:rsid w:val="00DB4405"/>
    <w:rsid w:val="00DB4FB7"/>
    <w:rsid w:val="00DC06A4"/>
    <w:rsid w:val="00DC22E6"/>
    <w:rsid w:val="00DC38C5"/>
    <w:rsid w:val="00DC6190"/>
    <w:rsid w:val="00DC7438"/>
    <w:rsid w:val="00DD06D3"/>
    <w:rsid w:val="00DD0886"/>
    <w:rsid w:val="00DD38FB"/>
    <w:rsid w:val="00DD42DD"/>
    <w:rsid w:val="00DD4D3E"/>
    <w:rsid w:val="00DD776B"/>
    <w:rsid w:val="00DE0F3D"/>
    <w:rsid w:val="00DE1885"/>
    <w:rsid w:val="00DE2796"/>
    <w:rsid w:val="00DE2A86"/>
    <w:rsid w:val="00DE3F94"/>
    <w:rsid w:val="00DE48D2"/>
    <w:rsid w:val="00DE5DEC"/>
    <w:rsid w:val="00DE611F"/>
    <w:rsid w:val="00DE70C2"/>
    <w:rsid w:val="00DF04D9"/>
    <w:rsid w:val="00DF05CB"/>
    <w:rsid w:val="00DF50A8"/>
    <w:rsid w:val="00E00294"/>
    <w:rsid w:val="00E00586"/>
    <w:rsid w:val="00E04590"/>
    <w:rsid w:val="00E05BF5"/>
    <w:rsid w:val="00E05E01"/>
    <w:rsid w:val="00E06139"/>
    <w:rsid w:val="00E06383"/>
    <w:rsid w:val="00E1120B"/>
    <w:rsid w:val="00E11304"/>
    <w:rsid w:val="00E1145D"/>
    <w:rsid w:val="00E11EF7"/>
    <w:rsid w:val="00E13158"/>
    <w:rsid w:val="00E163F7"/>
    <w:rsid w:val="00E1794C"/>
    <w:rsid w:val="00E23049"/>
    <w:rsid w:val="00E2402B"/>
    <w:rsid w:val="00E26DB7"/>
    <w:rsid w:val="00E3096D"/>
    <w:rsid w:val="00E31289"/>
    <w:rsid w:val="00E33F8D"/>
    <w:rsid w:val="00E34BEB"/>
    <w:rsid w:val="00E35174"/>
    <w:rsid w:val="00E36AB2"/>
    <w:rsid w:val="00E40785"/>
    <w:rsid w:val="00E43977"/>
    <w:rsid w:val="00E44AF8"/>
    <w:rsid w:val="00E453F0"/>
    <w:rsid w:val="00E4612E"/>
    <w:rsid w:val="00E46486"/>
    <w:rsid w:val="00E47268"/>
    <w:rsid w:val="00E47F0D"/>
    <w:rsid w:val="00E5315E"/>
    <w:rsid w:val="00E53703"/>
    <w:rsid w:val="00E55A16"/>
    <w:rsid w:val="00E55DDE"/>
    <w:rsid w:val="00E56DC7"/>
    <w:rsid w:val="00E6133F"/>
    <w:rsid w:val="00E619AC"/>
    <w:rsid w:val="00E61CEA"/>
    <w:rsid w:val="00E63D78"/>
    <w:rsid w:val="00E6560D"/>
    <w:rsid w:val="00E744D6"/>
    <w:rsid w:val="00E81B98"/>
    <w:rsid w:val="00E84632"/>
    <w:rsid w:val="00E870C9"/>
    <w:rsid w:val="00E93D5B"/>
    <w:rsid w:val="00E9413E"/>
    <w:rsid w:val="00E96927"/>
    <w:rsid w:val="00EB242C"/>
    <w:rsid w:val="00EB3302"/>
    <w:rsid w:val="00EB3FAA"/>
    <w:rsid w:val="00EB4E42"/>
    <w:rsid w:val="00EB5212"/>
    <w:rsid w:val="00EB7427"/>
    <w:rsid w:val="00EC13FF"/>
    <w:rsid w:val="00EC2555"/>
    <w:rsid w:val="00EC724A"/>
    <w:rsid w:val="00ED1AD6"/>
    <w:rsid w:val="00ED7FD9"/>
    <w:rsid w:val="00EE4009"/>
    <w:rsid w:val="00EE4E7F"/>
    <w:rsid w:val="00EF0A41"/>
    <w:rsid w:val="00EF110D"/>
    <w:rsid w:val="00EF4243"/>
    <w:rsid w:val="00EF46CC"/>
    <w:rsid w:val="00F0474D"/>
    <w:rsid w:val="00F05434"/>
    <w:rsid w:val="00F0567D"/>
    <w:rsid w:val="00F10097"/>
    <w:rsid w:val="00F14DC2"/>
    <w:rsid w:val="00F176B2"/>
    <w:rsid w:val="00F214A7"/>
    <w:rsid w:val="00F30F1C"/>
    <w:rsid w:val="00F317A5"/>
    <w:rsid w:val="00F326FB"/>
    <w:rsid w:val="00F330C0"/>
    <w:rsid w:val="00F33137"/>
    <w:rsid w:val="00F40B3F"/>
    <w:rsid w:val="00F424F1"/>
    <w:rsid w:val="00F42EA1"/>
    <w:rsid w:val="00F44C68"/>
    <w:rsid w:val="00F507EC"/>
    <w:rsid w:val="00F5260D"/>
    <w:rsid w:val="00F52F53"/>
    <w:rsid w:val="00F53DD0"/>
    <w:rsid w:val="00F543E1"/>
    <w:rsid w:val="00F57122"/>
    <w:rsid w:val="00F57594"/>
    <w:rsid w:val="00F60E77"/>
    <w:rsid w:val="00F625AE"/>
    <w:rsid w:val="00F63D8E"/>
    <w:rsid w:val="00F650D9"/>
    <w:rsid w:val="00F6645D"/>
    <w:rsid w:val="00F73D1A"/>
    <w:rsid w:val="00F756FA"/>
    <w:rsid w:val="00F76AE6"/>
    <w:rsid w:val="00F80413"/>
    <w:rsid w:val="00F859D2"/>
    <w:rsid w:val="00F85EE3"/>
    <w:rsid w:val="00F8687C"/>
    <w:rsid w:val="00F90BEF"/>
    <w:rsid w:val="00F90ECF"/>
    <w:rsid w:val="00F9570B"/>
    <w:rsid w:val="00F95844"/>
    <w:rsid w:val="00F96C69"/>
    <w:rsid w:val="00F97FFD"/>
    <w:rsid w:val="00FA2C19"/>
    <w:rsid w:val="00FA3F0E"/>
    <w:rsid w:val="00FA4E23"/>
    <w:rsid w:val="00FA6F85"/>
    <w:rsid w:val="00FB1A31"/>
    <w:rsid w:val="00FB2DF6"/>
    <w:rsid w:val="00FB344C"/>
    <w:rsid w:val="00FB3A9D"/>
    <w:rsid w:val="00FB41D2"/>
    <w:rsid w:val="00FB44F5"/>
    <w:rsid w:val="00FB485A"/>
    <w:rsid w:val="00FB58BC"/>
    <w:rsid w:val="00FC0FA6"/>
    <w:rsid w:val="00FC44BE"/>
    <w:rsid w:val="00FC44CD"/>
    <w:rsid w:val="00FC7090"/>
    <w:rsid w:val="00FC7B80"/>
    <w:rsid w:val="00FD0FE7"/>
    <w:rsid w:val="00FD1546"/>
    <w:rsid w:val="00FD7A69"/>
    <w:rsid w:val="00FE2FBD"/>
    <w:rsid w:val="00FE356D"/>
    <w:rsid w:val="00FE38EF"/>
    <w:rsid w:val="00FE53D8"/>
    <w:rsid w:val="00FE6683"/>
    <w:rsid w:val="00FF0BF5"/>
    <w:rsid w:val="00FF16B6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91CA5"/>
  <w15:docId w15:val="{2121CB3A-88D9-47CC-9769-64045ECF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07"/>
    <w:pPr>
      <w:spacing w:after="160" w:line="345" w:lineRule="exac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5207"/>
    <w:pPr>
      <w:keepNext/>
      <w:keepLines/>
      <w:pBdr>
        <w:bottom w:val="single" w:sz="4" w:space="1" w:color="D9D9D9" w:themeColor="background1" w:themeShade="D9"/>
      </w:pBdr>
      <w:spacing w:before="450" w:after="225" w:line="240" w:lineRule="auto"/>
      <w:ind w:right="-3060"/>
      <w:outlineLvl w:val="0"/>
    </w:pPr>
    <w:rPr>
      <w:rFonts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002C"/>
    <w:pPr>
      <w:keepNext/>
      <w:keepLines/>
      <w:shd w:val="clear" w:color="auto" w:fill="FFFFFF"/>
      <w:spacing w:before="570" w:after="173" w:line="240" w:lineRule="auto"/>
      <w:outlineLvl w:val="1"/>
    </w:pPr>
    <w:rPr>
      <w:b/>
      <w:bCs/>
      <w:color w:val="000000"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95F78"/>
    <w:pPr>
      <w:spacing w:before="480" w:after="173"/>
      <w:outlineLvl w:val="2"/>
    </w:pPr>
    <w:rPr>
      <w:bCs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D0AF7"/>
    <w:pPr>
      <w:spacing w:before="390" w:after="173"/>
      <w:outlineLvl w:val="3"/>
    </w:pPr>
    <w:rPr>
      <w:b/>
      <w:sz w:val="27"/>
      <w:szCs w:val="27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D0AF7"/>
    <w:pPr>
      <w:spacing w:before="345" w:after="173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8D0AF7"/>
    <w:pPr>
      <w:spacing w:before="315" w:after="173"/>
      <w:outlineLvl w:val="5"/>
    </w:pPr>
    <w:rPr>
      <w:b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F94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F94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F94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AF7"/>
    <w:rPr>
      <w:rFonts w:ascii="Arial" w:eastAsiaTheme="minorHAnsi" w:hAnsi="Arial" w:cstheme="minorBidi"/>
      <w:noProof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AF7"/>
    <w:rPr>
      <w:rFonts w:ascii="Arial" w:eastAsiaTheme="minorHAnsi" w:hAnsi="Arial" w:cstheme="minorBidi"/>
      <w:noProof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0AF7"/>
    <w:rPr>
      <w:rFonts w:ascii="Tahoma" w:eastAsiaTheme="minorHAnsi" w:hAnsi="Tahoma" w:cs="Tahoma"/>
      <w:noProof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D0AF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815FB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8D0AF7"/>
    <w:rPr>
      <w:color w:val="2004EC"/>
      <w:u w:val="single"/>
    </w:rPr>
  </w:style>
  <w:style w:type="paragraph" w:styleId="NormalWeb">
    <w:name w:val="Normal (Web)"/>
    <w:basedOn w:val="Normal"/>
    <w:uiPriority w:val="99"/>
    <w:semiHidden/>
    <w:unhideWhenUsed/>
    <w:rsid w:val="000C7E8E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DE3F94"/>
    <w:rPr>
      <w:b/>
      <w:bCs/>
    </w:rPr>
  </w:style>
  <w:style w:type="character" w:styleId="Emphasis">
    <w:name w:val="Emphasis"/>
    <w:uiPriority w:val="20"/>
    <w:qFormat/>
    <w:rsid w:val="00DE3F94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link w:val="Heading1"/>
    <w:uiPriority w:val="9"/>
    <w:rsid w:val="00895207"/>
    <w:rPr>
      <w:rFonts w:ascii="Arial" w:eastAsiaTheme="minorHAnsi" w:hAnsi="Arial" w:cs="Arial"/>
      <w:b/>
      <w:bCs/>
      <w:sz w:val="40"/>
      <w:szCs w:val="40"/>
      <w:lang w:eastAsia="en-US"/>
    </w:rPr>
  </w:style>
  <w:style w:type="paragraph" w:styleId="ListParagraph">
    <w:name w:val="List Paragraph"/>
    <w:basedOn w:val="Normal"/>
    <w:uiPriority w:val="1"/>
    <w:qFormat/>
    <w:rsid w:val="008D0AF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31002C"/>
    <w:rPr>
      <w:rFonts w:ascii="Arial" w:eastAsiaTheme="minorHAnsi" w:hAnsi="Arial" w:cstheme="minorBidi"/>
      <w:b/>
      <w:bCs/>
      <w:color w:val="000000"/>
      <w:sz w:val="36"/>
      <w:szCs w:val="36"/>
      <w:shd w:val="clear" w:color="auto" w:fill="FFFFFF"/>
    </w:rPr>
  </w:style>
  <w:style w:type="character" w:customStyle="1" w:styleId="Heading3Char">
    <w:name w:val="Heading 3 Char"/>
    <w:link w:val="Heading3"/>
    <w:uiPriority w:val="9"/>
    <w:rsid w:val="00095F78"/>
    <w:rPr>
      <w:rFonts w:ascii="Arial" w:eastAsiaTheme="minorHAnsi" w:hAnsi="Arial" w:cstheme="minorBidi"/>
      <w:bCs/>
      <w:sz w:val="32"/>
      <w:szCs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D0AF7"/>
    <w:rPr>
      <w:rFonts w:ascii="Arial" w:eastAsiaTheme="minorHAnsi" w:hAnsi="Arial" w:cstheme="minorBidi"/>
      <w:b/>
      <w:noProof/>
      <w:sz w:val="27"/>
      <w:szCs w:val="27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D0AF7"/>
    <w:rPr>
      <w:rFonts w:ascii="Arial" w:eastAsiaTheme="minorHAnsi" w:hAnsi="Arial" w:cstheme="minorBidi"/>
      <w:b/>
      <w:noProof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D0AF7"/>
    <w:rPr>
      <w:rFonts w:ascii="Arial" w:eastAsiaTheme="minorHAnsi" w:hAnsi="Arial" w:cstheme="minorBidi"/>
      <w:b/>
      <w:noProof/>
      <w:sz w:val="21"/>
      <w:szCs w:val="21"/>
      <w:lang w:eastAsia="en-US"/>
    </w:rPr>
  </w:style>
  <w:style w:type="character" w:customStyle="1" w:styleId="Heading7Char">
    <w:name w:val="Heading 7 Char"/>
    <w:link w:val="Heading7"/>
    <w:uiPriority w:val="9"/>
    <w:semiHidden/>
    <w:rsid w:val="00DE3F9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DE3F9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E3F9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E3F94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DE3F94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F94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DE3F94"/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NoSpacing">
    <w:name w:val="No Spacing"/>
    <w:uiPriority w:val="1"/>
    <w:rsid w:val="008D0AF7"/>
    <w:rPr>
      <w:sz w:val="22"/>
      <w:szCs w:val="22"/>
      <w:lang w:val="en-US" w:eastAsia="en-US" w:bidi="en-US"/>
    </w:rPr>
  </w:style>
  <w:style w:type="paragraph" w:styleId="Quote">
    <w:name w:val="Quote"/>
    <w:aliases w:val="Blockquote"/>
    <w:basedOn w:val="Normal"/>
    <w:next w:val="Normal"/>
    <w:link w:val="QuoteChar"/>
    <w:autoRedefine/>
    <w:uiPriority w:val="29"/>
    <w:qFormat/>
    <w:rsid w:val="008D0AF7"/>
    <w:pPr>
      <w:pBdr>
        <w:left w:val="single" w:sz="12" w:space="4" w:color="D9D9D9" w:themeColor="background1" w:themeShade="D9"/>
      </w:pBdr>
      <w:spacing w:before="200" w:after="345"/>
      <w:ind w:left="113"/>
    </w:pPr>
    <w:rPr>
      <w:iCs/>
      <w:color w:val="404040" w:themeColor="text1" w:themeTint="BF"/>
    </w:rPr>
  </w:style>
  <w:style w:type="character" w:customStyle="1" w:styleId="QuoteChar">
    <w:name w:val="Quote Char"/>
    <w:aliases w:val="Blockquote Char"/>
    <w:basedOn w:val="DefaultParagraphFont"/>
    <w:link w:val="Quote"/>
    <w:uiPriority w:val="29"/>
    <w:rsid w:val="008D0AF7"/>
    <w:rPr>
      <w:rFonts w:ascii="Arial" w:eastAsiaTheme="minorHAnsi" w:hAnsi="Arial" w:cstheme="minorBidi"/>
      <w:iCs/>
      <w:noProof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F9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E3F94"/>
    <w:rPr>
      <w:b/>
      <w:bCs/>
      <w:i/>
      <w:iCs/>
    </w:rPr>
  </w:style>
  <w:style w:type="character" w:styleId="SubtleEmphasis">
    <w:name w:val="Subtle Emphasis"/>
    <w:uiPriority w:val="19"/>
    <w:qFormat/>
    <w:rsid w:val="00DE3F94"/>
    <w:rPr>
      <w:i/>
      <w:iCs/>
    </w:rPr>
  </w:style>
  <w:style w:type="character" w:styleId="IntenseEmphasis">
    <w:name w:val="Intense Emphasis"/>
    <w:uiPriority w:val="21"/>
    <w:qFormat/>
    <w:rsid w:val="00DE3F94"/>
    <w:rPr>
      <w:b/>
      <w:bCs/>
    </w:rPr>
  </w:style>
  <w:style w:type="character" w:styleId="SubtleReference">
    <w:name w:val="Subtle Reference"/>
    <w:uiPriority w:val="31"/>
    <w:qFormat/>
    <w:rsid w:val="00DE3F94"/>
    <w:rPr>
      <w:smallCaps/>
    </w:rPr>
  </w:style>
  <w:style w:type="character" w:styleId="IntenseReference">
    <w:name w:val="Intense Reference"/>
    <w:uiPriority w:val="32"/>
    <w:qFormat/>
    <w:rsid w:val="00DE3F94"/>
    <w:rPr>
      <w:smallCaps/>
      <w:spacing w:val="5"/>
      <w:u w:val="single"/>
    </w:rPr>
  </w:style>
  <w:style w:type="character" w:styleId="BookTitle">
    <w:name w:val="Book Title"/>
    <w:uiPriority w:val="33"/>
    <w:qFormat/>
    <w:rsid w:val="00DE3F9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3F94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8D0AF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0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AF7"/>
    <w:rPr>
      <w:rFonts w:ascii="Arial" w:eastAsiaTheme="minorHAnsi" w:hAnsi="Arial" w:cstheme="minorBidi"/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AF7"/>
    <w:rPr>
      <w:rFonts w:ascii="Arial" w:eastAsiaTheme="minorHAnsi" w:hAnsi="Arial" w:cstheme="minorBidi"/>
      <w:b/>
      <w:bCs/>
      <w:noProof/>
      <w:lang w:eastAsia="en-US"/>
    </w:rPr>
  </w:style>
  <w:style w:type="paragraph" w:styleId="Revision">
    <w:name w:val="Revision"/>
    <w:hidden/>
    <w:uiPriority w:val="99"/>
    <w:semiHidden/>
    <w:rsid w:val="0060043F"/>
    <w:rPr>
      <w:sz w:val="22"/>
      <w:szCs w:val="22"/>
      <w:lang w:val="en-US" w:eastAsia="en-US" w:bidi="en-US"/>
    </w:rPr>
  </w:style>
  <w:style w:type="character" w:styleId="PlaceholderText">
    <w:name w:val="Placeholder Text"/>
    <w:uiPriority w:val="99"/>
    <w:semiHidden/>
    <w:rsid w:val="008D0AF7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A827F0"/>
    <w:pPr>
      <w:spacing w:after="0" w:line="240" w:lineRule="auto"/>
    </w:pPr>
    <w:rPr>
      <w:rFonts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A827F0"/>
    <w:rPr>
      <w:rFonts w:eastAsiaTheme="minorHAnsi" w:cs="Calibri"/>
      <w:sz w:val="22"/>
      <w:szCs w:val="22"/>
      <w:lang w:eastAsia="en-US"/>
    </w:rPr>
  </w:style>
  <w:style w:type="paragraph" w:customStyle="1" w:styleId="Well">
    <w:name w:val="Well"/>
    <w:basedOn w:val="Normal"/>
    <w:link w:val="WellChar"/>
    <w:uiPriority w:val="9"/>
    <w:qFormat/>
    <w:rsid w:val="008D0AF7"/>
    <w:pPr>
      <w:pBdr>
        <w:top w:val="single" w:sz="12" w:space="14" w:color="D9D9D9" w:themeColor="background1" w:themeShade="D9"/>
        <w:left w:val="single" w:sz="12" w:space="14" w:color="D9D9D9" w:themeColor="background1" w:themeShade="D9"/>
        <w:bottom w:val="single" w:sz="12" w:space="14" w:color="D9D9D9" w:themeColor="background1" w:themeShade="D9"/>
        <w:right w:val="single" w:sz="12" w:space="14" w:color="D9D9D9" w:themeColor="background1" w:themeShade="D9"/>
      </w:pBdr>
      <w:shd w:val="clear" w:color="auto" w:fill="F2F2F2" w:themeFill="background1" w:themeFillShade="F2"/>
      <w:spacing w:after="300"/>
      <w:ind w:left="284" w:right="284"/>
    </w:pPr>
  </w:style>
  <w:style w:type="character" w:customStyle="1" w:styleId="WellChar">
    <w:name w:val="Well Char"/>
    <w:basedOn w:val="DefaultParagraphFont"/>
    <w:link w:val="Well"/>
    <w:uiPriority w:val="9"/>
    <w:rsid w:val="008D0AF7"/>
    <w:rPr>
      <w:rFonts w:ascii="Arial" w:eastAsiaTheme="minorHAnsi" w:hAnsi="Arial" w:cstheme="minorBidi"/>
      <w:noProof/>
      <w:sz w:val="24"/>
      <w:szCs w:val="22"/>
      <w:shd w:val="clear" w:color="auto" w:fill="F2F2F2" w:themeFill="background1" w:themeFillShade="F2"/>
      <w:lang w:eastAsia="en-US"/>
    </w:rPr>
  </w:style>
  <w:style w:type="table" w:customStyle="1" w:styleId="WETTable">
    <w:name w:val="WET Table"/>
    <w:basedOn w:val="TableNormal"/>
    <w:uiPriority w:val="99"/>
    <w:rsid w:val="008D0AF7"/>
    <w:rPr>
      <w:rFonts w:ascii="Arial" w:eastAsia="Calibri" w:hAnsi="Arial"/>
      <w:sz w:val="24"/>
    </w:rPr>
    <w:tblPr>
      <w:tblStyleRowBandSize w:val="1"/>
      <w:tblStyleColBandSize w:val="1"/>
      <w:tblCellMar>
        <w:top w:w="120" w:type="dxa"/>
        <w:left w:w="120" w:type="dxa"/>
        <w:bottom w:w="120" w:type="dxa"/>
        <w:right w:w="12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8" w:space="0" w:color="D9D9D9" w:themeColor="background1" w:themeShade="D9"/>
          <w:right w:val="nil"/>
          <w:insideH w:val="nil"/>
          <w:insideV w:val="nil"/>
        </w:tcBorders>
      </w:tcPr>
    </w:tblStylePr>
    <w:tblStylePr w:type="band1Horz">
      <w:rPr>
        <w:rFonts w:ascii="Arial" w:hAnsi="Arial"/>
        <w:sz w:val="24"/>
      </w:rPr>
      <w:tblPr/>
      <w:tcPr>
        <w:tcBorders>
          <w:top w:val="single" w:sz="4" w:space="0" w:color="D9D9D9" w:themeColor="background1" w:themeShade="D9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D9D9D9" w:themeColor="background1" w:themeShade="D9"/>
        </w:tcBorders>
      </w:tcPr>
    </w:tblStylePr>
  </w:style>
  <w:style w:type="paragraph" w:customStyle="1" w:styleId="Tablecaption">
    <w:name w:val="Table caption"/>
    <w:basedOn w:val="Heading5"/>
    <w:link w:val="TablecaptionChar"/>
    <w:uiPriority w:val="10"/>
    <w:qFormat/>
    <w:rsid w:val="008D0AF7"/>
    <w:pPr>
      <w:jc w:val="center"/>
    </w:pPr>
  </w:style>
  <w:style w:type="character" w:customStyle="1" w:styleId="TablecaptionChar">
    <w:name w:val="Table caption Char"/>
    <w:basedOn w:val="Heading5Char"/>
    <w:link w:val="Tablecaption"/>
    <w:uiPriority w:val="10"/>
    <w:rsid w:val="008D0AF7"/>
    <w:rPr>
      <w:rFonts w:ascii="Arial" w:eastAsiaTheme="minorHAnsi" w:hAnsi="Arial" w:cstheme="minorBidi"/>
      <w:b/>
      <w:noProof/>
      <w:sz w:val="24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D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2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5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1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8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ollo.omega.dce-eir.net/livelink/llisapi.dll/link/95295339" TargetMode="External"/><Relationship Id="rId13" Type="http://schemas.openxmlformats.org/officeDocument/2006/relationships/hyperlink" Target="https://www.cbsa-asfc.gc.ca/contact/bis-sif-e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bsa-ut.isvcs.net/trade-commerce/tariff-tarif/menu-eng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sa-asfc.gc.ca/publications/dm-md/d11/d11-11-3-eng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kxw056\AppData\Roaming\OpenText\OTEdit\EC_apollo\c2454081\TBD_______________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ada.ca/en/treasury-board-secretariat/services/government-communications/canada-content-style-guide.html" TargetMode="External"/><Relationship Id="rId14" Type="http://schemas.openxmlformats.org/officeDocument/2006/relationships/hyperlink" Target="https://www.cbsa-asfc.gc.ca/publications/dm-md/d10/d10-13-1-eng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m255\Desktop\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72F3-F6EB-46EB-A1B8-894C2325B4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253b65-9774-4e01-8e61-dcaccc9be209}" enabled="1" method="Standard" siteId="{bf06f9ba-7005-4119-86fc-96e4fcd96d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Style template.dotx</Template>
  <TotalTime>0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Canada / Transports Canada</Company>
  <LinksUpToDate>false</LinksUpToDate>
  <CharactersWithSpaces>7742</CharactersWithSpaces>
  <SharedDoc>false</SharedDoc>
  <HLinks>
    <vt:vector size="54" baseType="variant">
      <vt:variant>
        <vt:i4>4325383</vt:i4>
      </vt:variant>
      <vt:variant>
        <vt:i4>24</vt:i4>
      </vt:variant>
      <vt:variant>
        <vt:i4>0</vt:i4>
      </vt:variant>
      <vt:variant>
        <vt:i4>5</vt:i4>
      </vt:variant>
      <vt:variant>
        <vt:lpwstr>http://www.thesaurus.gc.ca/recherche-search/thes-eng.html</vt:lpwstr>
      </vt:variant>
      <vt:variant>
        <vt:lpwstr/>
      </vt:variant>
      <vt:variant>
        <vt:i4>4325383</vt:i4>
      </vt:variant>
      <vt:variant>
        <vt:i4>21</vt:i4>
      </vt:variant>
      <vt:variant>
        <vt:i4>0</vt:i4>
      </vt:variant>
      <vt:variant>
        <vt:i4>5</vt:i4>
      </vt:variant>
      <vt:variant>
        <vt:lpwstr>http://www.thesaurus.gc.ca/recherche-search/thes-eng.html</vt:lpwstr>
      </vt:variant>
      <vt:variant>
        <vt:lpwstr/>
      </vt:variant>
      <vt:variant>
        <vt:i4>3407987</vt:i4>
      </vt:variant>
      <vt:variant>
        <vt:i4>18</vt:i4>
      </vt:variant>
      <vt:variant>
        <vt:i4>0</vt:i4>
      </vt:variant>
      <vt:variant>
        <vt:i4>5</vt:i4>
      </vt:variant>
      <vt:variant>
        <vt:lpwstr>http://laws.justice.gc.ca/eng/regulations/SOR-99-53/page-1.html</vt:lpwstr>
      </vt:variant>
      <vt:variant>
        <vt:lpwstr/>
      </vt:variant>
      <vt:variant>
        <vt:i4>5767285</vt:i4>
      </vt:variant>
      <vt:variant>
        <vt:i4>15</vt:i4>
      </vt:variant>
      <vt:variant>
        <vt:i4>0</vt:i4>
      </vt:variant>
      <vt:variant>
        <vt:i4>5</vt:i4>
      </vt:variant>
      <vt:variant>
        <vt:lpwstr>http://www.tc.gc.ca/eng/marinesafety/debs-obs-quick-quick_visitor-1610.htm</vt:lpwstr>
      </vt:variant>
      <vt:variant>
        <vt:lpwstr/>
      </vt:variant>
      <vt:variant>
        <vt:i4>1900639</vt:i4>
      </vt:variant>
      <vt:variant>
        <vt:i4>12</vt:i4>
      </vt:variant>
      <vt:variant>
        <vt:i4>0</vt:i4>
      </vt:variant>
      <vt:variant>
        <vt:i4>5</vt:i4>
      </vt:variant>
      <vt:variant>
        <vt:lpwstr>https://www.tc.gc.ca/media/documents/marinesafety/TP-511e.pdf</vt:lpwstr>
      </vt:variant>
      <vt:variant>
        <vt:lpwstr/>
      </vt:variant>
      <vt:variant>
        <vt:i4>3276857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_Another_subheading_[HEADING</vt:lpwstr>
      </vt:variant>
      <vt:variant>
        <vt:i4>1310790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_Subheading_[HEADING_2]</vt:lpwstr>
      </vt:variant>
      <vt:variant>
        <vt:i4>2687099</vt:i4>
      </vt:variant>
      <vt:variant>
        <vt:i4>0</vt:i4>
      </vt:variant>
      <vt:variant>
        <vt:i4>0</vt:i4>
      </vt:variant>
      <vt:variant>
        <vt:i4>5</vt:i4>
      </vt:variant>
      <vt:variant>
        <vt:lpwstr>https://www.canada.ca/en/transport-canada.html</vt:lpwstr>
      </vt:variant>
      <vt:variant>
        <vt:lpwstr/>
      </vt:variant>
      <vt:variant>
        <vt:i4>6357001</vt:i4>
      </vt:variant>
      <vt:variant>
        <vt:i4>3758</vt:i4>
      </vt:variant>
      <vt:variant>
        <vt:i4>1025</vt:i4>
      </vt:variant>
      <vt:variant>
        <vt:i4>1</vt:i4>
      </vt:variant>
      <vt:variant>
        <vt:lpwstr>cid:image001.png@01D16016.4B04D550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bohays</dc:creator>
  <cp:keywords/>
  <cp:lastModifiedBy>Whaley, Kevin</cp:lastModifiedBy>
  <cp:revision>2</cp:revision>
  <cp:lastPrinted>2026-05-15T15:32:00Z</cp:lastPrinted>
  <dcterms:created xsi:type="dcterms:W3CDTF">2026-07-14T14:59:00Z</dcterms:created>
  <dcterms:modified xsi:type="dcterms:W3CDTF">2026-07-14T14:59:00Z</dcterms:modified>
</cp:coreProperties>
</file>