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E84D1" w14:textId="07139FFB" w:rsidR="008615BE" w:rsidRPr="008615BE" w:rsidRDefault="008615BE" w:rsidP="008615BE">
      <w:pPr>
        <w:pStyle w:val="Heading1"/>
      </w:pPr>
      <w:r w:rsidRPr="008615BE">
        <w:t>Mémorandum D4-1-4</w:t>
      </w:r>
      <w:r w:rsidR="003C46B8">
        <w:t> </w:t>
      </w:r>
      <w:r w:rsidRPr="008615BE">
        <w:t>: Entrepôts d’attente des douanes</w:t>
      </w:r>
    </w:p>
    <w:p w14:paraId="1A2A0BC3" w14:textId="77777777" w:rsidR="008615BE" w:rsidRPr="00880932" w:rsidRDefault="008615BE" w:rsidP="008615BE">
      <w:pPr>
        <w:spacing w:line="345" w:lineRule="exact"/>
        <w:contextualSpacing/>
        <w:rPr>
          <w:rFonts w:ascii="Arial" w:hAnsi="Arial" w:cs="Arial"/>
          <w:sz w:val="24"/>
          <w:szCs w:val="24"/>
          <w:lang w:val="fr-CA"/>
        </w:rPr>
      </w:pPr>
      <w:r w:rsidRPr="00880932">
        <w:rPr>
          <w:rFonts w:ascii="Arial" w:hAnsi="Arial" w:cs="Arial"/>
          <w:sz w:val="24"/>
          <w:szCs w:val="24"/>
          <w:lang w:val="fr-CA"/>
        </w:rPr>
        <w:t>ISSN 2369-2391</w:t>
      </w:r>
    </w:p>
    <w:p w14:paraId="5A11F667" w14:textId="5BE3FF4A" w:rsidR="008615BE" w:rsidRPr="00880932" w:rsidRDefault="008615BE" w:rsidP="008615BE">
      <w:pPr>
        <w:spacing w:line="345" w:lineRule="exact"/>
        <w:contextualSpacing/>
        <w:rPr>
          <w:rFonts w:ascii="Arial" w:hAnsi="Arial" w:cs="Arial"/>
          <w:sz w:val="24"/>
          <w:szCs w:val="24"/>
          <w:lang w:val="fr-CA"/>
        </w:rPr>
      </w:pPr>
      <w:r w:rsidRPr="00880932">
        <w:rPr>
          <w:rFonts w:ascii="Arial" w:hAnsi="Arial" w:cs="Arial"/>
          <w:sz w:val="24"/>
          <w:szCs w:val="24"/>
          <w:lang w:val="fr-CA"/>
        </w:rPr>
        <w:t>Ottawa,</w:t>
      </w:r>
      <w:r w:rsidR="00894152">
        <w:rPr>
          <w:rFonts w:ascii="Arial" w:hAnsi="Arial" w:cs="Arial"/>
          <w:sz w:val="24"/>
          <w:szCs w:val="24"/>
          <w:lang w:val="fr-CA"/>
        </w:rPr>
        <w:t xml:space="preserve"> XX</w:t>
      </w:r>
      <w:r w:rsidR="00894152" w:rsidRPr="00880932" w:rsidDel="00894152">
        <w:rPr>
          <w:rFonts w:ascii="Arial" w:hAnsi="Arial" w:cs="Arial"/>
          <w:sz w:val="24"/>
          <w:szCs w:val="24"/>
          <w:lang w:val="fr-CA"/>
        </w:rPr>
        <w:t xml:space="preserve"> </w:t>
      </w:r>
      <w:r w:rsidRPr="00880932">
        <w:rPr>
          <w:rFonts w:ascii="Arial" w:hAnsi="Arial" w:cs="Arial"/>
          <w:sz w:val="24"/>
          <w:szCs w:val="24"/>
          <w:highlight w:val="yellow"/>
          <w:lang w:val="fr-CA"/>
        </w:rPr>
        <w:t>202</w:t>
      </w:r>
      <w:r w:rsidR="00894152">
        <w:rPr>
          <w:rFonts w:ascii="Arial" w:hAnsi="Arial" w:cs="Arial"/>
          <w:sz w:val="24"/>
          <w:szCs w:val="24"/>
          <w:highlight w:val="yellow"/>
          <w:lang w:val="fr-CA"/>
        </w:rPr>
        <w:t>X</w:t>
      </w:r>
    </w:p>
    <w:p w14:paraId="2FC5544A" w14:textId="77777777" w:rsidR="008615BE" w:rsidRPr="008615BE" w:rsidRDefault="008615BE" w:rsidP="008615BE">
      <w:pPr>
        <w:pStyle w:val="Heading2"/>
      </w:pPr>
      <w:r w:rsidRPr="008615BE">
        <w:t>Résumé en langage clair</w:t>
      </w:r>
    </w:p>
    <w:p w14:paraId="403F7A44" w14:textId="60AB77ED" w:rsidR="008615BE" w:rsidRPr="00880932" w:rsidRDefault="008615BE" w:rsidP="008615BE">
      <w:pPr>
        <w:spacing w:line="345" w:lineRule="exact"/>
        <w:rPr>
          <w:rFonts w:ascii="Arial" w:hAnsi="Arial" w:cs="Arial"/>
          <w:sz w:val="24"/>
          <w:szCs w:val="24"/>
          <w:lang w:val="fr-CA"/>
        </w:rPr>
      </w:pPr>
      <w:r w:rsidRPr="00880932">
        <w:rPr>
          <w:rFonts w:ascii="Arial" w:hAnsi="Arial" w:cs="Arial"/>
          <w:b/>
          <w:bCs/>
          <w:sz w:val="24"/>
          <w:szCs w:val="24"/>
          <w:lang w:val="fr-CA"/>
        </w:rPr>
        <w:t>Public cible</w:t>
      </w:r>
      <w:r w:rsidRPr="00880932">
        <w:rPr>
          <w:rFonts w:ascii="Arial" w:hAnsi="Arial" w:cs="Arial"/>
          <w:sz w:val="24"/>
          <w:szCs w:val="24"/>
          <w:lang w:val="fr-CA"/>
        </w:rPr>
        <w:t> :</w:t>
      </w:r>
      <w:r w:rsidR="002D1622">
        <w:rPr>
          <w:rFonts w:ascii="Arial" w:hAnsi="Arial" w:cs="Arial"/>
          <w:sz w:val="24"/>
          <w:szCs w:val="24"/>
          <w:lang w:val="fr-CA"/>
        </w:rPr>
        <w:t xml:space="preserve"> </w:t>
      </w:r>
      <w:r w:rsidRPr="00880932">
        <w:rPr>
          <w:rFonts w:ascii="Arial" w:hAnsi="Arial" w:cs="Arial"/>
          <w:sz w:val="24"/>
          <w:szCs w:val="24"/>
          <w:lang w:val="fr-CA"/>
        </w:rPr>
        <w:t>demandeurs d’agrément et exploitants agréés d’entrepôt d’attente des douanes</w:t>
      </w:r>
      <w:r w:rsidR="002C24EE" w:rsidRPr="00880932">
        <w:rPr>
          <w:rFonts w:ascii="Arial" w:hAnsi="Arial" w:cs="Arial"/>
          <w:sz w:val="24"/>
          <w:szCs w:val="24"/>
          <w:lang w:val="fr-CA"/>
        </w:rPr>
        <w:t>.</w:t>
      </w:r>
    </w:p>
    <w:p w14:paraId="5E42654F" w14:textId="751C6688" w:rsidR="008615BE" w:rsidRPr="00880932" w:rsidRDefault="008615BE" w:rsidP="008615BE">
      <w:pPr>
        <w:spacing w:line="345" w:lineRule="exact"/>
        <w:rPr>
          <w:rFonts w:ascii="Arial" w:hAnsi="Arial" w:cs="Arial"/>
          <w:sz w:val="24"/>
          <w:szCs w:val="24"/>
          <w:lang w:val="fr-CA"/>
        </w:rPr>
      </w:pPr>
      <w:r w:rsidRPr="00880932">
        <w:rPr>
          <w:rFonts w:ascii="Arial" w:hAnsi="Arial" w:cs="Arial"/>
          <w:b/>
          <w:bCs/>
          <w:sz w:val="24"/>
          <w:szCs w:val="24"/>
          <w:lang w:val="fr-CA"/>
        </w:rPr>
        <w:t>Sujet principal</w:t>
      </w:r>
      <w:r w:rsidRPr="00880932">
        <w:rPr>
          <w:rFonts w:ascii="Arial" w:hAnsi="Arial" w:cs="Arial"/>
          <w:sz w:val="24"/>
          <w:szCs w:val="24"/>
          <w:lang w:val="fr-CA"/>
        </w:rPr>
        <w:t> :</w:t>
      </w:r>
      <w:r w:rsidR="002D1622">
        <w:rPr>
          <w:rFonts w:ascii="Arial" w:hAnsi="Arial" w:cs="Arial"/>
          <w:sz w:val="24"/>
          <w:szCs w:val="24"/>
          <w:lang w:val="fr-CA"/>
        </w:rPr>
        <w:t xml:space="preserve"> </w:t>
      </w:r>
      <w:r w:rsidRPr="00880932">
        <w:rPr>
          <w:rFonts w:ascii="Arial" w:hAnsi="Arial" w:cs="Arial"/>
          <w:sz w:val="24"/>
          <w:szCs w:val="24"/>
          <w:lang w:val="fr-CA"/>
        </w:rPr>
        <w:t xml:space="preserve">description des responsabilités liées à l’obtention, à la modification ou à l’annulation d’un agrément </w:t>
      </w:r>
      <w:r w:rsidR="00A13888">
        <w:rPr>
          <w:rFonts w:ascii="Arial" w:hAnsi="Arial" w:cs="Arial"/>
          <w:sz w:val="24"/>
          <w:szCs w:val="24"/>
          <w:lang w:val="fr-CA"/>
        </w:rPr>
        <w:t>d’</w:t>
      </w:r>
      <w:r w:rsidRPr="00880932">
        <w:rPr>
          <w:rFonts w:ascii="Arial" w:hAnsi="Arial" w:cs="Arial"/>
          <w:sz w:val="24"/>
          <w:szCs w:val="24"/>
          <w:lang w:val="fr-CA"/>
        </w:rPr>
        <w:t>exploitation d’un entrepôt d’attente.</w:t>
      </w:r>
    </w:p>
    <w:p w14:paraId="3435630A" w14:textId="5D965E00" w:rsidR="008615BE" w:rsidRPr="00880932" w:rsidRDefault="008615BE" w:rsidP="008615BE">
      <w:pPr>
        <w:spacing w:line="345" w:lineRule="exact"/>
        <w:rPr>
          <w:rFonts w:ascii="Arial" w:hAnsi="Arial" w:cs="Arial"/>
          <w:sz w:val="24"/>
          <w:szCs w:val="24"/>
          <w:lang w:val="fr-CA"/>
        </w:rPr>
      </w:pPr>
      <w:r w:rsidRPr="00880932">
        <w:rPr>
          <w:rFonts w:ascii="Arial" w:hAnsi="Arial" w:cs="Arial"/>
          <w:b/>
          <w:bCs/>
          <w:sz w:val="24"/>
          <w:szCs w:val="24"/>
          <w:lang w:val="fr-CA"/>
        </w:rPr>
        <w:t>Mots clés</w:t>
      </w:r>
      <w:r w:rsidRPr="00880932">
        <w:rPr>
          <w:rFonts w:ascii="Arial" w:hAnsi="Arial" w:cs="Arial"/>
          <w:sz w:val="24"/>
          <w:szCs w:val="24"/>
          <w:lang w:val="fr-CA"/>
        </w:rPr>
        <w:t> :</w:t>
      </w:r>
      <w:r w:rsidR="000D19BD">
        <w:rPr>
          <w:rFonts w:ascii="Arial" w:hAnsi="Arial" w:cs="Arial"/>
          <w:sz w:val="24"/>
          <w:szCs w:val="24"/>
          <w:lang w:val="fr-CA"/>
        </w:rPr>
        <w:t xml:space="preserve"> </w:t>
      </w:r>
      <w:r w:rsidRPr="00880932">
        <w:rPr>
          <w:rFonts w:ascii="Arial" w:hAnsi="Arial" w:cs="Arial"/>
          <w:sz w:val="24"/>
          <w:szCs w:val="24"/>
          <w:lang w:val="fr-CA"/>
        </w:rPr>
        <w:t>demande, garantie financière, exigences relatives au bâtiment, entreposage, catégories d’entrepôts.</w:t>
      </w:r>
    </w:p>
    <w:p w14:paraId="7F253A37" w14:textId="77777777" w:rsidR="008615BE" w:rsidRPr="008615BE" w:rsidRDefault="008615BE" w:rsidP="008615BE">
      <w:pPr>
        <w:pStyle w:val="Heading2"/>
      </w:pPr>
      <w:r w:rsidRPr="008615BE">
        <w:t>Sur cette page</w:t>
      </w:r>
    </w:p>
    <w:p w14:paraId="52374A0A" w14:textId="77777777" w:rsidR="008615BE" w:rsidRPr="00880932" w:rsidRDefault="008615BE" w:rsidP="008615BE">
      <w:pPr>
        <w:pStyle w:val="ListParagraph"/>
        <w:numPr>
          <w:ilvl w:val="0"/>
          <w:numId w:val="4"/>
        </w:numPr>
        <w:ind w:left="714" w:hanging="357"/>
        <w:rPr>
          <w:rStyle w:val="Hyperlink"/>
          <w:rFonts w:cs="Arial"/>
          <w:color w:val="0000FF"/>
        </w:rPr>
      </w:pPr>
      <w:r w:rsidRPr="00880932">
        <w:rPr>
          <w:rFonts w:cs="Arial"/>
          <w:color w:val="0000FF"/>
        </w:rPr>
        <w:fldChar w:fldCharType="begin"/>
      </w:r>
      <w:r w:rsidRPr="00880932">
        <w:rPr>
          <w:rFonts w:cs="Arial"/>
          <w:color w:val="0000FF"/>
        </w:rPr>
        <w:instrText xml:space="preserve"> HYPERLINK  \l "_D-memo_updates" </w:instrText>
      </w:r>
      <w:r w:rsidRPr="00880932">
        <w:rPr>
          <w:rFonts w:cs="Arial"/>
          <w:color w:val="0000FF"/>
        </w:rPr>
      </w:r>
      <w:r w:rsidRPr="00880932">
        <w:rPr>
          <w:rFonts w:cs="Arial"/>
          <w:color w:val="0000FF"/>
        </w:rPr>
        <w:fldChar w:fldCharType="separate"/>
      </w:r>
      <w:r w:rsidRPr="00880932">
        <w:rPr>
          <w:rStyle w:val="Hyperlink"/>
          <w:rFonts w:cs="Arial"/>
          <w:color w:val="0000FF"/>
        </w:rPr>
        <w:t>Mises à jour apportées à ce mémorandum D</w:t>
      </w:r>
    </w:p>
    <w:p w14:paraId="2E20376D" w14:textId="77777777" w:rsidR="008615BE" w:rsidRPr="00880932" w:rsidRDefault="008615BE" w:rsidP="008615BE">
      <w:pPr>
        <w:pStyle w:val="ListParagraph"/>
        <w:numPr>
          <w:ilvl w:val="0"/>
          <w:numId w:val="4"/>
        </w:numPr>
        <w:ind w:left="714" w:hanging="357"/>
        <w:rPr>
          <w:rStyle w:val="Hyperlink"/>
          <w:rFonts w:cs="Arial"/>
          <w:color w:val="0000FF"/>
        </w:rPr>
      </w:pPr>
      <w:r w:rsidRPr="00880932">
        <w:rPr>
          <w:color w:val="0000FF"/>
        </w:rPr>
        <w:fldChar w:fldCharType="end"/>
      </w:r>
      <w:r w:rsidRPr="00880932">
        <w:rPr>
          <w:color w:val="0000FF"/>
        </w:rPr>
        <w:fldChar w:fldCharType="begin"/>
      </w:r>
      <w:r w:rsidRPr="00880932">
        <w:rPr>
          <w:color w:val="0000FF"/>
        </w:rPr>
        <w:instrText xml:space="preserve"> HYPERLINK  \l "_Another_subheading_[HEADING" </w:instrText>
      </w:r>
      <w:r w:rsidRPr="00880932">
        <w:rPr>
          <w:color w:val="0000FF"/>
        </w:rPr>
      </w:r>
      <w:r w:rsidRPr="00880932">
        <w:rPr>
          <w:color w:val="0000FF"/>
        </w:rPr>
        <w:fldChar w:fldCharType="separate"/>
      </w:r>
      <w:r w:rsidRPr="00880932">
        <w:rPr>
          <w:rStyle w:val="Hyperlink"/>
          <w:rFonts w:cs="Arial"/>
          <w:color w:val="0000FF"/>
        </w:rPr>
        <w:t>Définitions</w:t>
      </w:r>
    </w:p>
    <w:p w14:paraId="24FB299D" w14:textId="77777777" w:rsidR="008615BE" w:rsidRPr="00880932" w:rsidRDefault="008615BE" w:rsidP="008615BE">
      <w:pPr>
        <w:pStyle w:val="ListParagraph"/>
        <w:numPr>
          <w:ilvl w:val="0"/>
          <w:numId w:val="4"/>
        </w:numPr>
        <w:ind w:left="714" w:hanging="357"/>
        <w:rPr>
          <w:rStyle w:val="Hyperlink"/>
          <w:rFonts w:cs="Arial"/>
          <w:color w:val="0000FF"/>
        </w:rPr>
      </w:pPr>
      <w:r w:rsidRPr="00880932">
        <w:rPr>
          <w:color w:val="0000FF"/>
        </w:rPr>
        <w:fldChar w:fldCharType="end"/>
      </w:r>
      <w:r w:rsidRPr="00880932">
        <w:rPr>
          <w:color w:val="0000FF"/>
        </w:rPr>
        <w:fldChar w:fldCharType="begin"/>
      </w:r>
      <w:r w:rsidRPr="00880932">
        <w:rPr>
          <w:color w:val="0000FF"/>
        </w:rPr>
        <w:instrText xml:space="preserve"> HYPERLINK  \l "_Lignes_directrices" </w:instrText>
      </w:r>
      <w:r w:rsidRPr="00880932">
        <w:rPr>
          <w:color w:val="0000FF"/>
        </w:rPr>
      </w:r>
      <w:r w:rsidRPr="00880932">
        <w:rPr>
          <w:color w:val="0000FF"/>
        </w:rPr>
        <w:fldChar w:fldCharType="separate"/>
      </w:r>
      <w:r w:rsidRPr="00880932">
        <w:rPr>
          <w:rStyle w:val="Hyperlink"/>
          <w:rFonts w:cs="Arial"/>
          <w:color w:val="0000FF"/>
        </w:rPr>
        <w:t>Lignes directrices</w:t>
      </w:r>
    </w:p>
    <w:p w14:paraId="40BDF21B" w14:textId="4F143459" w:rsidR="00B677B6" w:rsidRDefault="008615BE" w:rsidP="00B677B6">
      <w:pPr>
        <w:pStyle w:val="ListParagraph"/>
        <w:numPr>
          <w:ilvl w:val="1"/>
          <w:numId w:val="4"/>
        </w:numPr>
      </w:pPr>
      <w:r w:rsidRPr="00880932">
        <w:rPr>
          <w:color w:val="0000FF"/>
        </w:rPr>
        <w:fldChar w:fldCharType="end"/>
      </w:r>
      <w:hyperlink w:anchor="_Octroiement_d’agrément_aux" w:history="1">
        <w:r w:rsidR="00B677B6" w:rsidRPr="00B677B6">
          <w:rPr>
            <w:rStyle w:val="Hyperlink"/>
          </w:rPr>
          <w:t>Octroi d</w:t>
        </w:r>
        <w:r w:rsidR="009B12A1">
          <w:rPr>
            <w:rStyle w:val="Hyperlink"/>
          </w:rPr>
          <w:t>’</w:t>
        </w:r>
        <w:r w:rsidR="00B677B6" w:rsidRPr="00B677B6">
          <w:rPr>
            <w:rStyle w:val="Hyperlink"/>
          </w:rPr>
          <w:t xml:space="preserve">agrément </w:t>
        </w:r>
        <w:r w:rsidR="00F22432">
          <w:rPr>
            <w:rStyle w:val="Hyperlink"/>
          </w:rPr>
          <w:t>d’</w:t>
        </w:r>
        <w:r w:rsidR="00B677B6" w:rsidRPr="00B677B6">
          <w:rPr>
            <w:rStyle w:val="Hyperlink"/>
          </w:rPr>
          <w:t>entrepôt d</w:t>
        </w:r>
        <w:r w:rsidR="00CC165F">
          <w:rPr>
            <w:rStyle w:val="Hyperlink"/>
          </w:rPr>
          <w:t>’</w:t>
        </w:r>
        <w:r w:rsidR="00B677B6" w:rsidRPr="00B677B6">
          <w:rPr>
            <w:rStyle w:val="Hyperlink"/>
          </w:rPr>
          <w:t>attente</w:t>
        </w:r>
      </w:hyperlink>
    </w:p>
    <w:p w14:paraId="51FDDF62" w14:textId="44BCA850" w:rsidR="00B677B6" w:rsidRDefault="00B677B6" w:rsidP="00B677B6">
      <w:pPr>
        <w:pStyle w:val="ListParagraph"/>
        <w:numPr>
          <w:ilvl w:val="1"/>
          <w:numId w:val="4"/>
        </w:numPr>
      </w:pPr>
      <w:hyperlink w:anchor="_Exigences_pour_obtenir" w:history="1">
        <w:r w:rsidRPr="006C297D">
          <w:rPr>
            <w:rStyle w:val="Hyperlink"/>
          </w:rPr>
          <w:t>Exigences pour obtenir un agrément</w:t>
        </w:r>
      </w:hyperlink>
    </w:p>
    <w:p w14:paraId="136F89D2" w14:textId="5529251B" w:rsidR="00B677B6" w:rsidRDefault="00B677B6" w:rsidP="00B677B6">
      <w:pPr>
        <w:pStyle w:val="ListParagraph"/>
        <w:numPr>
          <w:ilvl w:val="1"/>
          <w:numId w:val="4"/>
        </w:numPr>
      </w:pPr>
      <w:hyperlink w:anchor="_Garantie_financière_-" w:history="1">
        <w:r w:rsidRPr="006C297D">
          <w:rPr>
            <w:rStyle w:val="Hyperlink"/>
          </w:rPr>
          <w:t xml:space="preserve">Garantie financière </w:t>
        </w:r>
        <w:r w:rsidR="002B27FD">
          <w:rPr>
            <w:rStyle w:val="Hyperlink"/>
          </w:rPr>
          <w:t>–</w:t>
        </w:r>
        <w:r w:rsidRPr="006C297D">
          <w:rPr>
            <w:rStyle w:val="Hyperlink"/>
          </w:rPr>
          <w:t xml:space="preserve"> </w:t>
        </w:r>
        <w:r w:rsidR="00CA2D6B">
          <w:rPr>
            <w:rStyle w:val="Hyperlink"/>
          </w:rPr>
          <w:t>d</w:t>
        </w:r>
        <w:r w:rsidRPr="006C297D">
          <w:rPr>
            <w:rStyle w:val="Hyperlink"/>
          </w:rPr>
          <w:t>emandes</w:t>
        </w:r>
      </w:hyperlink>
    </w:p>
    <w:p w14:paraId="39070140" w14:textId="2681506E" w:rsidR="00B677B6" w:rsidRDefault="00B677B6" w:rsidP="00B677B6">
      <w:pPr>
        <w:pStyle w:val="ListParagraph"/>
        <w:numPr>
          <w:ilvl w:val="1"/>
          <w:numId w:val="4"/>
        </w:numPr>
      </w:pPr>
      <w:hyperlink w:anchor="_Garantie_financière_-_1" w:history="1">
        <w:r w:rsidRPr="006C297D">
          <w:rPr>
            <w:rStyle w:val="Hyperlink"/>
          </w:rPr>
          <w:t xml:space="preserve">Garantie financière </w:t>
        </w:r>
        <w:r w:rsidR="002B27FD">
          <w:rPr>
            <w:rStyle w:val="Hyperlink"/>
          </w:rPr>
          <w:t>–</w:t>
        </w:r>
        <w:r w:rsidRPr="006C297D">
          <w:rPr>
            <w:rStyle w:val="Hyperlink"/>
          </w:rPr>
          <w:t xml:space="preserve"> </w:t>
        </w:r>
        <w:r w:rsidR="00CA2D6B">
          <w:rPr>
            <w:rStyle w:val="Hyperlink"/>
          </w:rPr>
          <w:t>m</w:t>
        </w:r>
        <w:r w:rsidRPr="006C297D">
          <w:rPr>
            <w:rStyle w:val="Hyperlink"/>
          </w:rPr>
          <w:t>odification</w:t>
        </w:r>
      </w:hyperlink>
    </w:p>
    <w:p w14:paraId="5CC7C46C" w14:textId="3BF61285" w:rsidR="00B677B6" w:rsidRDefault="00B677B6" w:rsidP="00B677B6">
      <w:pPr>
        <w:pStyle w:val="ListParagraph"/>
        <w:numPr>
          <w:ilvl w:val="1"/>
          <w:numId w:val="4"/>
        </w:numPr>
      </w:pPr>
      <w:hyperlink w:anchor="_Approbation_de_la" w:history="1">
        <w:r w:rsidRPr="006C297D">
          <w:rPr>
            <w:rStyle w:val="Hyperlink"/>
          </w:rPr>
          <w:t>Approbation de la demande</w:t>
        </w:r>
      </w:hyperlink>
    </w:p>
    <w:p w14:paraId="76C74AB5" w14:textId="49F75AB6" w:rsidR="00B677B6" w:rsidRDefault="00B677B6" w:rsidP="00B677B6">
      <w:pPr>
        <w:pStyle w:val="ListParagraph"/>
        <w:numPr>
          <w:ilvl w:val="1"/>
          <w:numId w:val="4"/>
        </w:numPr>
      </w:pPr>
      <w:hyperlink w:anchor="_Demande_de_modification" w:history="1">
        <w:r w:rsidRPr="006C297D">
          <w:rPr>
            <w:rStyle w:val="Hyperlink"/>
          </w:rPr>
          <w:t>Demande de modification par l</w:t>
        </w:r>
        <w:r w:rsidR="002B27FD">
          <w:rPr>
            <w:rStyle w:val="Hyperlink"/>
          </w:rPr>
          <w:t>’</w:t>
        </w:r>
        <w:r w:rsidRPr="006C297D">
          <w:rPr>
            <w:rStyle w:val="Hyperlink"/>
          </w:rPr>
          <w:t>exploitant</w:t>
        </w:r>
      </w:hyperlink>
    </w:p>
    <w:p w14:paraId="5689FC09" w14:textId="315FCE49" w:rsidR="00B677B6" w:rsidRDefault="00B677B6" w:rsidP="00B677B6">
      <w:pPr>
        <w:pStyle w:val="ListParagraph"/>
        <w:numPr>
          <w:ilvl w:val="1"/>
          <w:numId w:val="4"/>
        </w:numPr>
      </w:pPr>
      <w:hyperlink w:anchor="_Modification_apportée_par" w:history="1">
        <w:r w:rsidRPr="006C297D">
          <w:rPr>
            <w:rStyle w:val="Hyperlink"/>
          </w:rPr>
          <w:t>Modification apportée par l</w:t>
        </w:r>
        <w:r w:rsidR="002B27FD">
          <w:rPr>
            <w:rStyle w:val="Hyperlink"/>
          </w:rPr>
          <w:t>’</w:t>
        </w:r>
        <w:r w:rsidRPr="006C297D">
          <w:rPr>
            <w:rStyle w:val="Hyperlink"/>
          </w:rPr>
          <w:t>ASFC</w:t>
        </w:r>
      </w:hyperlink>
    </w:p>
    <w:p w14:paraId="0696CFE5" w14:textId="43799C03" w:rsidR="00B677B6" w:rsidRDefault="00B677B6" w:rsidP="00B677B6">
      <w:pPr>
        <w:pStyle w:val="ListParagraph"/>
        <w:numPr>
          <w:ilvl w:val="1"/>
          <w:numId w:val="4"/>
        </w:numPr>
      </w:pPr>
      <w:hyperlink w:anchor="_Annulation/fermeture_initié_par" w:history="1">
        <w:r w:rsidRPr="006C297D">
          <w:rPr>
            <w:rStyle w:val="Hyperlink"/>
          </w:rPr>
          <w:t>Annulation/fermeture initié</w:t>
        </w:r>
        <w:r w:rsidR="0050769D">
          <w:rPr>
            <w:rStyle w:val="Hyperlink"/>
          </w:rPr>
          <w:t>e</w:t>
        </w:r>
        <w:r w:rsidRPr="006C297D">
          <w:rPr>
            <w:rStyle w:val="Hyperlink"/>
          </w:rPr>
          <w:t xml:space="preserve"> par l</w:t>
        </w:r>
        <w:r w:rsidR="0050769D">
          <w:rPr>
            <w:rStyle w:val="Hyperlink"/>
          </w:rPr>
          <w:t>’</w:t>
        </w:r>
        <w:r w:rsidRPr="006C297D">
          <w:rPr>
            <w:rStyle w:val="Hyperlink"/>
          </w:rPr>
          <w:t>exploitant</w:t>
        </w:r>
      </w:hyperlink>
    </w:p>
    <w:p w14:paraId="62B249DF" w14:textId="2B630299" w:rsidR="00B677B6" w:rsidRDefault="00B677B6" w:rsidP="00B677B6">
      <w:pPr>
        <w:pStyle w:val="ListParagraph"/>
        <w:numPr>
          <w:ilvl w:val="1"/>
          <w:numId w:val="4"/>
        </w:numPr>
      </w:pPr>
      <w:hyperlink w:anchor="_Annulation_par_l’ASFC" w:history="1">
        <w:r w:rsidRPr="006C297D">
          <w:rPr>
            <w:rStyle w:val="Hyperlink"/>
          </w:rPr>
          <w:t>Annulation par l</w:t>
        </w:r>
        <w:r w:rsidR="0050769D">
          <w:rPr>
            <w:rStyle w:val="Hyperlink"/>
          </w:rPr>
          <w:t>’</w:t>
        </w:r>
        <w:r w:rsidRPr="006C297D">
          <w:rPr>
            <w:rStyle w:val="Hyperlink"/>
          </w:rPr>
          <w:t>ASFC</w:t>
        </w:r>
      </w:hyperlink>
    </w:p>
    <w:p w14:paraId="6CC8ED5D" w14:textId="695F11A2" w:rsidR="00B677B6" w:rsidRDefault="00B677B6" w:rsidP="00B677B6">
      <w:pPr>
        <w:pStyle w:val="ListParagraph"/>
        <w:numPr>
          <w:ilvl w:val="1"/>
          <w:numId w:val="4"/>
        </w:numPr>
      </w:pPr>
      <w:hyperlink w:anchor="_Suspension_(ou_annulation)" w:history="1">
        <w:r w:rsidRPr="006C297D">
          <w:rPr>
            <w:rStyle w:val="Hyperlink"/>
          </w:rPr>
          <w:t>Suspension (ou annulation) initié</w:t>
        </w:r>
        <w:r w:rsidR="0050769D">
          <w:rPr>
            <w:rStyle w:val="Hyperlink"/>
          </w:rPr>
          <w:t>e</w:t>
        </w:r>
        <w:r w:rsidRPr="006C297D">
          <w:rPr>
            <w:rStyle w:val="Hyperlink"/>
          </w:rPr>
          <w:t xml:space="preserve"> par l</w:t>
        </w:r>
        <w:r w:rsidR="0050769D">
          <w:rPr>
            <w:rStyle w:val="Hyperlink"/>
          </w:rPr>
          <w:t>’</w:t>
        </w:r>
        <w:r w:rsidRPr="006C297D">
          <w:rPr>
            <w:rStyle w:val="Hyperlink"/>
          </w:rPr>
          <w:t xml:space="preserve">ASFC </w:t>
        </w:r>
        <w:r w:rsidR="0050769D">
          <w:rPr>
            <w:rStyle w:val="Hyperlink"/>
          </w:rPr>
          <w:t>–</w:t>
        </w:r>
        <w:r w:rsidRPr="006C297D">
          <w:rPr>
            <w:rStyle w:val="Hyperlink"/>
          </w:rPr>
          <w:t xml:space="preserve"> avec avis</w:t>
        </w:r>
      </w:hyperlink>
    </w:p>
    <w:p w14:paraId="73470490" w14:textId="1A15D19B" w:rsidR="00B677B6" w:rsidRDefault="00B677B6" w:rsidP="00B677B6">
      <w:pPr>
        <w:pStyle w:val="ListParagraph"/>
        <w:numPr>
          <w:ilvl w:val="1"/>
          <w:numId w:val="4"/>
        </w:numPr>
      </w:pPr>
      <w:hyperlink w:anchor="_Rétablissement_de_l’agrément" w:history="1">
        <w:r w:rsidRPr="006C297D">
          <w:rPr>
            <w:rStyle w:val="Hyperlink"/>
          </w:rPr>
          <w:t>Rétablissement de l</w:t>
        </w:r>
        <w:r w:rsidR="007603E4">
          <w:rPr>
            <w:rStyle w:val="Hyperlink"/>
          </w:rPr>
          <w:t>’</w:t>
        </w:r>
        <w:r w:rsidRPr="006C297D">
          <w:rPr>
            <w:rStyle w:val="Hyperlink"/>
          </w:rPr>
          <w:t>agrément par l</w:t>
        </w:r>
        <w:r w:rsidR="007603E4">
          <w:rPr>
            <w:rStyle w:val="Hyperlink"/>
          </w:rPr>
          <w:t>’</w:t>
        </w:r>
        <w:r w:rsidRPr="006C297D">
          <w:rPr>
            <w:rStyle w:val="Hyperlink"/>
          </w:rPr>
          <w:t>ASFC</w:t>
        </w:r>
      </w:hyperlink>
    </w:p>
    <w:p w14:paraId="06870B37" w14:textId="53D98B69" w:rsidR="00B677B6" w:rsidRDefault="00B677B6" w:rsidP="00B677B6">
      <w:pPr>
        <w:pStyle w:val="ListParagraph"/>
        <w:numPr>
          <w:ilvl w:val="1"/>
          <w:numId w:val="4"/>
        </w:numPr>
      </w:pPr>
      <w:hyperlink w:anchor="_Annulation_initié_par" w:history="1">
        <w:r w:rsidRPr="006C297D">
          <w:rPr>
            <w:rStyle w:val="Hyperlink"/>
          </w:rPr>
          <w:t>Annulation initié</w:t>
        </w:r>
        <w:r w:rsidR="00864D61">
          <w:rPr>
            <w:rStyle w:val="Hyperlink"/>
          </w:rPr>
          <w:t>e</w:t>
        </w:r>
        <w:r w:rsidRPr="006C297D">
          <w:rPr>
            <w:rStyle w:val="Hyperlink"/>
          </w:rPr>
          <w:t xml:space="preserve"> par l</w:t>
        </w:r>
        <w:r w:rsidR="00864D61">
          <w:rPr>
            <w:rStyle w:val="Hyperlink"/>
          </w:rPr>
          <w:t>’</w:t>
        </w:r>
        <w:r w:rsidRPr="006C297D">
          <w:rPr>
            <w:rStyle w:val="Hyperlink"/>
          </w:rPr>
          <w:t xml:space="preserve">ASFC </w:t>
        </w:r>
        <w:r w:rsidR="00864D61">
          <w:rPr>
            <w:rStyle w:val="Hyperlink"/>
          </w:rPr>
          <w:t>–</w:t>
        </w:r>
        <w:r w:rsidRPr="006C297D">
          <w:rPr>
            <w:rStyle w:val="Hyperlink"/>
          </w:rPr>
          <w:t xml:space="preserve"> avec avis</w:t>
        </w:r>
      </w:hyperlink>
    </w:p>
    <w:p w14:paraId="05C5FD0C" w14:textId="7D71B035" w:rsidR="00B677B6" w:rsidRDefault="00B677B6" w:rsidP="00B677B6">
      <w:pPr>
        <w:pStyle w:val="ListParagraph"/>
        <w:numPr>
          <w:ilvl w:val="1"/>
          <w:numId w:val="4"/>
        </w:numPr>
      </w:pPr>
      <w:hyperlink w:anchor="_Changement_de_propriétaire/contrat" w:history="1">
        <w:r w:rsidRPr="006C297D">
          <w:rPr>
            <w:rStyle w:val="Hyperlink"/>
          </w:rPr>
          <w:t>Changement de propriétaire/contrat de location</w:t>
        </w:r>
      </w:hyperlink>
    </w:p>
    <w:p w14:paraId="17897474" w14:textId="5CDFEE06" w:rsidR="00B677B6" w:rsidRDefault="00B677B6" w:rsidP="00B677B6">
      <w:pPr>
        <w:pStyle w:val="ListParagraph"/>
        <w:numPr>
          <w:ilvl w:val="1"/>
          <w:numId w:val="4"/>
        </w:numPr>
      </w:pPr>
      <w:hyperlink w:anchor="_Changement_de_propriétaire" w:history="1">
        <w:r w:rsidRPr="006C297D">
          <w:rPr>
            <w:rStyle w:val="Hyperlink"/>
          </w:rPr>
          <w:t>Changement de propriétaire d</w:t>
        </w:r>
        <w:r w:rsidR="00BF6F81">
          <w:rPr>
            <w:rStyle w:val="Hyperlink"/>
          </w:rPr>
          <w:t>’</w:t>
        </w:r>
        <w:r w:rsidRPr="006C297D">
          <w:rPr>
            <w:rStyle w:val="Hyperlink"/>
          </w:rPr>
          <w:t>un entrepôt d</w:t>
        </w:r>
        <w:r w:rsidR="003C0958">
          <w:rPr>
            <w:rStyle w:val="Hyperlink"/>
          </w:rPr>
          <w:t>’</w:t>
        </w:r>
        <w:r w:rsidRPr="006C297D">
          <w:rPr>
            <w:rStyle w:val="Hyperlink"/>
          </w:rPr>
          <w:t>attente routier (catégorie BW)</w:t>
        </w:r>
      </w:hyperlink>
    </w:p>
    <w:p w14:paraId="0F45375F" w14:textId="4AB5283F" w:rsidR="00B677B6" w:rsidRDefault="00B677B6" w:rsidP="00B677B6">
      <w:pPr>
        <w:pStyle w:val="ListParagraph"/>
        <w:numPr>
          <w:ilvl w:val="1"/>
          <w:numId w:val="4"/>
        </w:numPr>
      </w:pPr>
      <w:hyperlink w:anchor="_Sous-location_d’un_entrepôt" w:history="1">
        <w:r w:rsidRPr="006C297D">
          <w:rPr>
            <w:rStyle w:val="Hyperlink"/>
          </w:rPr>
          <w:t>Sous-location d</w:t>
        </w:r>
        <w:r w:rsidR="003C0958">
          <w:rPr>
            <w:rStyle w:val="Hyperlink"/>
          </w:rPr>
          <w:t>’</w:t>
        </w:r>
        <w:r w:rsidRPr="006C297D">
          <w:rPr>
            <w:rStyle w:val="Hyperlink"/>
          </w:rPr>
          <w:t>un entrepôt d</w:t>
        </w:r>
        <w:r w:rsidR="003C0958">
          <w:rPr>
            <w:rStyle w:val="Hyperlink"/>
          </w:rPr>
          <w:t>’</w:t>
        </w:r>
        <w:r w:rsidRPr="006C297D">
          <w:rPr>
            <w:rStyle w:val="Hyperlink"/>
          </w:rPr>
          <w:t>attente</w:t>
        </w:r>
      </w:hyperlink>
    </w:p>
    <w:p w14:paraId="6D69F7F3" w14:textId="22D5D1AE" w:rsidR="00B677B6" w:rsidRDefault="00B677B6" w:rsidP="00B677B6">
      <w:pPr>
        <w:pStyle w:val="ListParagraph"/>
        <w:numPr>
          <w:ilvl w:val="1"/>
          <w:numId w:val="4"/>
        </w:numPr>
      </w:pPr>
      <w:hyperlink w:anchor="_Déplacement_d’un_entrepôt" w:history="1">
        <w:r w:rsidRPr="006C297D">
          <w:rPr>
            <w:rStyle w:val="Hyperlink"/>
          </w:rPr>
          <w:t>Déplacement d</w:t>
        </w:r>
        <w:r w:rsidR="00352E82">
          <w:rPr>
            <w:rStyle w:val="Hyperlink"/>
          </w:rPr>
          <w:t>’</w:t>
        </w:r>
        <w:r w:rsidRPr="006C297D">
          <w:rPr>
            <w:rStyle w:val="Hyperlink"/>
          </w:rPr>
          <w:t>un entrepôt</w:t>
        </w:r>
      </w:hyperlink>
    </w:p>
    <w:p w14:paraId="155A0736" w14:textId="7FD9BD0D" w:rsidR="00B677B6" w:rsidRDefault="00B677B6" w:rsidP="00B677B6">
      <w:pPr>
        <w:pStyle w:val="ListParagraph"/>
        <w:numPr>
          <w:ilvl w:val="1"/>
          <w:numId w:val="4"/>
        </w:numPr>
      </w:pPr>
      <w:hyperlink w:anchor="_Fermeture_d’un_entrepôt" w:history="1">
        <w:r w:rsidRPr="006C297D">
          <w:rPr>
            <w:rStyle w:val="Hyperlink"/>
          </w:rPr>
          <w:t>Fermeture d</w:t>
        </w:r>
        <w:r w:rsidR="00352E82">
          <w:rPr>
            <w:rStyle w:val="Hyperlink"/>
          </w:rPr>
          <w:t>’</w:t>
        </w:r>
        <w:r w:rsidRPr="006C297D">
          <w:rPr>
            <w:rStyle w:val="Hyperlink"/>
          </w:rPr>
          <w:t>un entrepôt</w:t>
        </w:r>
      </w:hyperlink>
    </w:p>
    <w:p w14:paraId="39D365AE" w14:textId="199CC4B6" w:rsidR="00B677B6" w:rsidRDefault="00B677B6" w:rsidP="00B677B6">
      <w:pPr>
        <w:pStyle w:val="ListParagraph"/>
        <w:numPr>
          <w:ilvl w:val="1"/>
          <w:numId w:val="4"/>
        </w:numPr>
      </w:pPr>
      <w:hyperlink w:anchor="_Installations" w:history="1">
        <w:r w:rsidRPr="006C297D">
          <w:rPr>
            <w:rStyle w:val="Hyperlink"/>
          </w:rPr>
          <w:t>Installations</w:t>
        </w:r>
      </w:hyperlink>
    </w:p>
    <w:p w14:paraId="7DF08D7D" w14:textId="24A72227" w:rsidR="00B677B6" w:rsidRDefault="00B677B6" w:rsidP="00B677B6">
      <w:pPr>
        <w:pStyle w:val="ListParagraph"/>
        <w:numPr>
          <w:ilvl w:val="1"/>
          <w:numId w:val="4"/>
        </w:numPr>
      </w:pPr>
      <w:hyperlink w:anchor="_Exigences_relatives_au" w:history="1">
        <w:r w:rsidRPr="006C297D">
          <w:rPr>
            <w:rStyle w:val="Hyperlink"/>
          </w:rPr>
          <w:t>Exigences relatives au bâtiment</w:t>
        </w:r>
      </w:hyperlink>
    </w:p>
    <w:p w14:paraId="1070E6FB" w14:textId="4E60250B" w:rsidR="00B677B6" w:rsidRDefault="00B677B6" w:rsidP="00B677B6">
      <w:pPr>
        <w:pStyle w:val="ListParagraph"/>
        <w:numPr>
          <w:ilvl w:val="1"/>
          <w:numId w:val="4"/>
        </w:numPr>
      </w:pPr>
      <w:hyperlink w:anchor="_Modifications_apportées_au" w:history="1">
        <w:r w:rsidRPr="006C297D">
          <w:rPr>
            <w:rStyle w:val="Hyperlink"/>
          </w:rPr>
          <w:t>Modifications apportées au bâtiment</w:t>
        </w:r>
      </w:hyperlink>
    </w:p>
    <w:p w14:paraId="5659D451" w14:textId="4A1D4678" w:rsidR="00B677B6" w:rsidRDefault="00B677B6" w:rsidP="00B677B6">
      <w:pPr>
        <w:pStyle w:val="ListParagraph"/>
        <w:numPr>
          <w:ilvl w:val="1"/>
          <w:numId w:val="4"/>
        </w:numPr>
      </w:pPr>
      <w:hyperlink w:anchor="_Restrictions_visant_l’accès" w:history="1">
        <w:r w:rsidRPr="006C297D">
          <w:rPr>
            <w:rStyle w:val="Hyperlink"/>
          </w:rPr>
          <w:t>Restrictions visant l</w:t>
        </w:r>
        <w:r w:rsidR="00006AFB">
          <w:rPr>
            <w:rStyle w:val="Hyperlink"/>
          </w:rPr>
          <w:t>’</w:t>
        </w:r>
        <w:r w:rsidRPr="006C297D">
          <w:rPr>
            <w:rStyle w:val="Hyperlink"/>
          </w:rPr>
          <w:t>accès à un entrepôt d</w:t>
        </w:r>
        <w:r w:rsidR="00006AFB">
          <w:rPr>
            <w:rStyle w:val="Hyperlink"/>
          </w:rPr>
          <w:t>’</w:t>
        </w:r>
        <w:r w:rsidRPr="006C297D">
          <w:rPr>
            <w:rStyle w:val="Hyperlink"/>
          </w:rPr>
          <w:t>attente</w:t>
        </w:r>
      </w:hyperlink>
    </w:p>
    <w:p w14:paraId="4F331CEA" w14:textId="60254741" w:rsidR="00B677B6" w:rsidRDefault="00B677B6" w:rsidP="00B677B6">
      <w:pPr>
        <w:pStyle w:val="ListParagraph"/>
        <w:numPr>
          <w:ilvl w:val="1"/>
          <w:numId w:val="4"/>
        </w:numPr>
      </w:pPr>
      <w:hyperlink w:anchor="_Réception_et_refus" w:history="1">
        <w:r w:rsidRPr="006C297D">
          <w:rPr>
            <w:rStyle w:val="Hyperlink"/>
          </w:rPr>
          <w:t>Réception et refus des marchandises dans l</w:t>
        </w:r>
        <w:r w:rsidR="00006AFB">
          <w:rPr>
            <w:rStyle w:val="Hyperlink"/>
          </w:rPr>
          <w:t>’</w:t>
        </w:r>
        <w:r w:rsidRPr="006C297D">
          <w:rPr>
            <w:rStyle w:val="Hyperlink"/>
          </w:rPr>
          <w:t>entrepôt</w:t>
        </w:r>
      </w:hyperlink>
    </w:p>
    <w:p w14:paraId="76E90FA7" w14:textId="112B6467" w:rsidR="00B677B6" w:rsidRDefault="00B677B6" w:rsidP="00B677B6">
      <w:pPr>
        <w:pStyle w:val="ListParagraph"/>
        <w:numPr>
          <w:ilvl w:val="1"/>
          <w:numId w:val="4"/>
        </w:numPr>
      </w:pPr>
      <w:hyperlink w:anchor="_Communication_électronique_avec" w:history="1">
        <w:r w:rsidRPr="006C297D">
          <w:rPr>
            <w:rStyle w:val="Hyperlink"/>
          </w:rPr>
          <w:t>Communication électronique avec l</w:t>
        </w:r>
        <w:r w:rsidR="008325C6">
          <w:rPr>
            <w:rStyle w:val="Hyperlink"/>
          </w:rPr>
          <w:t>’</w:t>
        </w:r>
        <w:r w:rsidRPr="006C297D">
          <w:rPr>
            <w:rStyle w:val="Hyperlink"/>
          </w:rPr>
          <w:t>ASFC</w:t>
        </w:r>
      </w:hyperlink>
    </w:p>
    <w:p w14:paraId="660A60EB" w14:textId="48B78A73" w:rsidR="00B677B6" w:rsidRDefault="00B677B6" w:rsidP="00B677B6">
      <w:pPr>
        <w:pStyle w:val="ListParagraph"/>
        <w:numPr>
          <w:ilvl w:val="1"/>
          <w:numId w:val="4"/>
        </w:numPr>
      </w:pPr>
      <w:hyperlink w:anchor="_Demande_de_transmission" w:history="1">
        <w:r w:rsidRPr="006C297D">
          <w:rPr>
            <w:rStyle w:val="Hyperlink"/>
          </w:rPr>
          <w:t>Demande de transmission de données par voie électronique à l</w:t>
        </w:r>
        <w:r w:rsidR="009C410A">
          <w:rPr>
            <w:rStyle w:val="Hyperlink"/>
          </w:rPr>
          <w:t>’</w:t>
        </w:r>
        <w:r w:rsidRPr="006C297D">
          <w:rPr>
            <w:rStyle w:val="Hyperlink"/>
          </w:rPr>
          <w:t>ASFC</w:t>
        </w:r>
      </w:hyperlink>
    </w:p>
    <w:p w14:paraId="3734FCE6" w14:textId="44473F1C" w:rsidR="00B677B6" w:rsidRDefault="00B677B6" w:rsidP="00B677B6">
      <w:pPr>
        <w:pStyle w:val="ListParagraph"/>
        <w:numPr>
          <w:ilvl w:val="1"/>
          <w:numId w:val="4"/>
        </w:numPr>
      </w:pPr>
      <w:hyperlink w:anchor="_Conservation_des_documents" w:history="1">
        <w:r w:rsidRPr="007B5673">
          <w:rPr>
            <w:rStyle w:val="Hyperlink"/>
          </w:rPr>
          <w:t xml:space="preserve">Conservation des documents </w:t>
        </w:r>
        <w:r w:rsidR="009C410A">
          <w:rPr>
            <w:rStyle w:val="Hyperlink"/>
          </w:rPr>
          <w:t>–</w:t>
        </w:r>
        <w:r w:rsidRPr="007B5673">
          <w:rPr>
            <w:rStyle w:val="Hyperlink"/>
          </w:rPr>
          <w:t xml:space="preserve"> dossiers ouvert et clos</w:t>
        </w:r>
      </w:hyperlink>
    </w:p>
    <w:p w14:paraId="06D6E21E" w14:textId="158ECE22" w:rsidR="00B677B6" w:rsidRDefault="00B677B6" w:rsidP="00B677B6">
      <w:pPr>
        <w:pStyle w:val="ListParagraph"/>
        <w:numPr>
          <w:ilvl w:val="1"/>
          <w:numId w:val="4"/>
        </w:numPr>
      </w:pPr>
      <w:hyperlink w:anchor="_Modification_des_marchandises" w:history="1">
        <w:r w:rsidRPr="007B5673">
          <w:rPr>
            <w:rStyle w:val="Hyperlink"/>
          </w:rPr>
          <w:t>Modification des marchandises</w:t>
        </w:r>
      </w:hyperlink>
    </w:p>
    <w:p w14:paraId="7CAD5536" w14:textId="2E323AFF" w:rsidR="00B677B6" w:rsidRDefault="00B677B6" w:rsidP="00B677B6">
      <w:pPr>
        <w:pStyle w:val="ListParagraph"/>
        <w:numPr>
          <w:ilvl w:val="1"/>
          <w:numId w:val="4"/>
        </w:numPr>
      </w:pPr>
      <w:hyperlink w:anchor="_Entreposage_d’armes_à" w:history="1">
        <w:r w:rsidRPr="007B5673">
          <w:rPr>
            <w:rStyle w:val="Hyperlink"/>
          </w:rPr>
          <w:t>Entreposage d</w:t>
        </w:r>
        <w:r w:rsidR="004A4080">
          <w:rPr>
            <w:rStyle w:val="Hyperlink"/>
          </w:rPr>
          <w:t>’</w:t>
        </w:r>
        <w:r w:rsidRPr="007B5673">
          <w:rPr>
            <w:rStyle w:val="Hyperlink"/>
          </w:rPr>
          <w:t>armes à feu et d</w:t>
        </w:r>
        <w:r w:rsidR="004A4080">
          <w:rPr>
            <w:rStyle w:val="Hyperlink"/>
          </w:rPr>
          <w:t>’</w:t>
        </w:r>
        <w:r w:rsidRPr="007B5673">
          <w:rPr>
            <w:rStyle w:val="Hyperlink"/>
          </w:rPr>
          <w:t>autres armes</w:t>
        </w:r>
      </w:hyperlink>
    </w:p>
    <w:p w14:paraId="20AB014A" w14:textId="2F704976" w:rsidR="00B677B6" w:rsidRDefault="00B677B6" w:rsidP="00B677B6">
      <w:pPr>
        <w:pStyle w:val="ListParagraph"/>
        <w:numPr>
          <w:ilvl w:val="1"/>
          <w:numId w:val="4"/>
        </w:numPr>
      </w:pPr>
      <w:hyperlink w:anchor="_Délais" w:history="1">
        <w:r w:rsidR="003D6854">
          <w:rPr>
            <w:rStyle w:val="Hyperlink"/>
          </w:rPr>
          <w:t>Délais d’enlèvement des marchandises</w:t>
        </w:r>
      </w:hyperlink>
    </w:p>
    <w:p w14:paraId="5B5D3359" w14:textId="1B6E7B60" w:rsidR="00B677B6" w:rsidRDefault="00B677B6" w:rsidP="00B677B6">
      <w:pPr>
        <w:pStyle w:val="ListParagraph"/>
        <w:numPr>
          <w:ilvl w:val="1"/>
          <w:numId w:val="4"/>
        </w:numPr>
      </w:pPr>
      <w:hyperlink w:anchor="_Exceptions" w:history="1">
        <w:r w:rsidRPr="007B5673">
          <w:rPr>
            <w:rStyle w:val="Hyperlink"/>
          </w:rPr>
          <w:t>Exceptions</w:t>
        </w:r>
      </w:hyperlink>
    </w:p>
    <w:p w14:paraId="2187B167" w14:textId="6A83A2FB" w:rsidR="00B677B6" w:rsidRDefault="00B677B6" w:rsidP="00B677B6">
      <w:pPr>
        <w:pStyle w:val="ListParagraph"/>
        <w:numPr>
          <w:ilvl w:val="1"/>
          <w:numId w:val="4"/>
        </w:numPr>
      </w:pPr>
      <w:hyperlink w:anchor="_Lieu_de_dépôt" w:history="1">
        <w:r w:rsidRPr="007B5673">
          <w:rPr>
            <w:rStyle w:val="Hyperlink"/>
          </w:rPr>
          <w:t>Lieu de dépôt</w:t>
        </w:r>
      </w:hyperlink>
    </w:p>
    <w:p w14:paraId="6DAD8E9D" w14:textId="2D090E38" w:rsidR="00B677B6" w:rsidRDefault="007B5673" w:rsidP="00B677B6">
      <w:pPr>
        <w:pStyle w:val="ListParagraph"/>
        <w:numPr>
          <w:ilvl w:val="1"/>
          <w:numId w:val="4"/>
        </w:numPr>
      </w:pPr>
      <w:hyperlink w:anchor="_Marchandises_non_réclamées" w:history="1">
        <w:r w:rsidRPr="007B5673">
          <w:rPr>
            <w:rStyle w:val="Hyperlink"/>
          </w:rPr>
          <w:t>M</w:t>
        </w:r>
        <w:r w:rsidR="00B677B6" w:rsidRPr="007B5673">
          <w:rPr>
            <w:rStyle w:val="Hyperlink"/>
          </w:rPr>
          <w:t>archandises non réclamées</w:t>
        </w:r>
      </w:hyperlink>
    </w:p>
    <w:p w14:paraId="364500D7" w14:textId="18753654" w:rsidR="00B677B6" w:rsidRDefault="00B677B6" w:rsidP="00B677B6">
      <w:pPr>
        <w:pStyle w:val="ListParagraph"/>
        <w:numPr>
          <w:ilvl w:val="1"/>
          <w:numId w:val="4"/>
        </w:numPr>
      </w:pPr>
      <w:hyperlink w:anchor="_Limites_géographiques_et" w:history="1">
        <w:r w:rsidRPr="007B5673">
          <w:rPr>
            <w:rStyle w:val="Hyperlink"/>
          </w:rPr>
          <w:t>Limites géographiques et seuils minimaux en termes de volume pour l</w:t>
        </w:r>
        <w:r w:rsidR="00D6414D">
          <w:rPr>
            <w:rStyle w:val="Hyperlink"/>
          </w:rPr>
          <w:t>’</w:t>
        </w:r>
        <w:r w:rsidRPr="007B5673">
          <w:rPr>
            <w:rStyle w:val="Hyperlink"/>
          </w:rPr>
          <w:t>ouverture et la fermeture des entrepôts d</w:t>
        </w:r>
        <w:r w:rsidR="00D6414D">
          <w:rPr>
            <w:rStyle w:val="Hyperlink"/>
          </w:rPr>
          <w:t>’</w:t>
        </w:r>
        <w:r w:rsidRPr="007B5673">
          <w:rPr>
            <w:rStyle w:val="Hyperlink"/>
          </w:rPr>
          <w:t>attente</w:t>
        </w:r>
      </w:hyperlink>
    </w:p>
    <w:p w14:paraId="103E0FDA" w14:textId="3A602C7C" w:rsidR="00B677B6" w:rsidRDefault="00B677B6" w:rsidP="00B677B6">
      <w:pPr>
        <w:pStyle w:val="ListParagraph"/>
        <w:numPr>
          <w:ilvl w:val="1"/>
          <w:numId w:val="4"/>
        </w:numPr>
      </w:pPr>
      <w:hyperlink w:anchor="_Catégories_d’entrepôts_d’attente" w:history="1">
        <w:r w:rsidRPr="007B5673">
          <w:rPr>
            <w:rStyle w:val="Hyperlink"/>
          </w:rPr>
          <w:t>Catégories d</w:t>
        </w:r>
        <w:r w:rsidR="00D6414D">
          <w:rPr>
            <w:rStyle w:val="Hyperlink"/>
          </w:rPr>
          <w:t>’</w:t>
        </w:r>
        <w:r w:rsidRPr="007B5673">
          <w:rPr>
            <w:rStyle w:val="Hyperlink"/>
          </w:rPr>
          <w:t>entrepôts d</w:t>
        </w:r>
        <w:r w:rsidR="00691A8A">
          <w:rPr>
            <w:rStyle w:val="Hyperlink"/>
          </w:rPr>
          <w:t>’</w:t>
        </w:r>
        <w:r w:rsidRPr="007B5673">
          <w:rPr>
            <w:rStyle w:val="Hyperlink"/>
          </w:rPr>
          <w:t>attente</w:t>
        </w:r>
      </w:hyperlink>
    </w:p>
    <w:p w14:paraId="37F2C635" w14:textId="4903829D" w:rsidR="00B677B6" w:rsidRDefault="00B677B6" w:rsidP="00B677B6">
      <w:pPr>
        <w:pStyle w:val="ListParagraph"/>
        <w:numPr>
          <w:ilvl w:val="1"/>
          <w:numId w:val="4"/>
        </w:numPr>
      </w:pPr>
      <w:hyperlink w:anchor="_Catégorie_A_–" w:history="1">
        <w:r w:rsidRPr="007B5673">
          <w:rPr>
            <w:rStyle w:val="Hyperlink"/>
          </w:rPr>
          <w:t>Catégorie</w:t>
        </w:r>
        <w:r w:rsidR="00D6414D">
          <w:rPr>
            <w:rStyle w:val="Hyperlink"/>
          </w:rPr>
          <w:t> </w:t>
        </w:r>
        <w:r w:rsidRPr="007B5673">
          <w:rPr>
            <w:rStyle w:val="Hyperlink"/>
          </w:rPr>
          <w:t xml:space="preserve">A </w:t>
        </w:r>
        <w:r w:rsidR="00D6414D">
          <w:rPr>
            <w:rStyle w:val="Hyperlink"/>
          </w:rPr>
          <w:t>–</w:t>
        </w:r>
        <w:r w:rsidRPr="007B5673">
          <w:rPr>
            <w:rStyle w:val="Hyperlink"/>
          </w:rPr>
          <w:t xml:space="preserve"> </w:t>
        </w:r>
        <w:r w:rsidR="00CA2D6B">
          <w:rPr>
            <w:rStyle w:val="Hyperlink"/>
          </w:rPr>
          <w:t>m</w:t>
        </w:r>
        <w:r w:rsidRPr="007B5673">
          <w:rPr>
            <w:rStyle w:val="Hyperlink"/>
          </w:rPr>
          <w:t>archandise</w:t>
        </w:r>
        <w:r w:rsidR="00FE741B">
          <w:rPr>
            <w:rStyle w:val="Hyperlink"/>
          </w:rPr>
          <w:t>s</w:t>
        </w:r>
        <w:r w:rsidRPr="007B5673">
          <w:rPr>
            <w:rStyle w:val="Hyperlink"/>
          </w:rPr>
          <w:t xml:space="preserve"> diverses</w:t>
        </w:r>
      </w:hyperlink>
    </w:p>
    <w:p w14:paraId="77AAB8F1" w14:textId="4497499C" w:rsidR="00B677B6" w:rsidRDefault="00B677B6" w:rsidP="00B677B6">
      <w:pPr>
        <w:pStyle w:val="ListParagraph"/>
        <w:numPr>
          <w:ilvl w:val="1"/>
          <w:numId w:val="4"/>
        </w:numPr>
      </w:pPr>
      <w:hyperlink w:anchor="_Catégorie_B_–" w:history="1">
        <w:r w:rsidRPr="007B5673">
          <w:rPr>
            <w:rStyle w:val="Hyperlink"/>
          </w:rPr>
          <w:t>Catégorie</w:t>
        </w:r>
        <w:r w:rsidR="00C1541E">
          <w:rPr>
            <w:rStyle w:val="Hyperlink"/>
          </w:rPr>
          <w:t> </w:t>
        </w:r>
        <w:r w:rsidRPr="007B5673">
          <w:rPr>
            <w:rStyle w:val="Hyperlink"/>
          </w:rPr>
          <w:t xml:space="preserve">B </w:t>
        </w:r>
        <w:r w:rsidR="00C1541E">
          <w:rPr>
            <w:rStyle w:val="Hyperlink"/>
          </w:rPr>
          <w:t>–</w:t>
        </w:r>
        <w:r w:rsidRPr="007B5673">
          <w:rPr>
            <w:rStyle w:val="Hyperlink"/>
          </w:rPr>
          <w:t xml:space="preserve"> </w:t>
        </w:r>
        <w:r w:rsidR="00CA2D6B">
          <w:rPr>
            <w:rStyle w:val="Hyperlink"/>
          </w:rPr>
          <w:t>m</w:t>
        </w:r>
        <w:r w:rsidRPr="007B5673">
          <w:rPr>
            <w:rStyle w:val="Hyperlink"/>
          </w:rPr>
          <w:t>archandises diverses</w:t>
        </w:r>
      </w:hyperlink>
    </w:p>
    <w:p w14:paraId="6B85DFA6" w14:textId="5AF771BC" w:rsidR="00B677B6" w:rsidRDefault="00B677B6" w:rsidP="00B677B6">
      <w:pPr>
        <w:pStyle w:val="ListParagraph"/>
        <w:numPr>
          <w:ilvl w:val="1"/>
          <w:numId w:val="4"/>
        </w:numPr>
      </w:pPr>
      <w:hyperlink w:anchor="_Catégorie_C_–" w:history="1">
        <w:r w:rsidRPr="007B5673">
          <w:rPr>
            <w:rStyle w:val="Hyperlink"/>
          </w:rPr>
          <w:t>Catégorie</w:t>
        </w:r>
        <w:r w:rsidR="00C1541E">
          <w:rPr>
            <w:rStyle w:val="Hyperlink"/>
          </w:rPr>
          <w:t> </w:t>
        </w:r>
        <w:r w:rsidRPr="007B5673">
          <w:rPr>
            <w:rStyle w:val="Hyperlink"/>
          </w:rPr>
          <w:t xml:space="preserve">C </w:t>
        </w:r>
        <w:r w:rsidR="00C1541E">
          <w:rPr>
            <w:rStyle w:val="Hyperlink"/>
          </w:rPr>
          <w:t>–</w:t>
        </w:r>
        <w:r w:rsidRPr="007B5673">
          <w:rPr>
            <w:rStyle w:val="Hyperlink"/>
          </w:rPr>
          <w:t xml:space="preserve"> </w:t>
        </w:r>
        <w:r w:rsidR="00CA2D6B">
          <w:rPr>
            <w:rStyle w:val="Hyperlink"/>
          </w:rPr>
          <w:t>m</w:t>
        </w:r>
        <w:r w:rsidRPr="007B5673">
          <w:rPr>
            <w:rStyle w:val="Hyperlink"/>
          </w:rPr>
          <w:t>archandises diverses</w:t>
        </w:r>
      </w:hyperlink>
    </w:p>
    <w:p w14:paraId="09E1C4F1" w14:textId="7AE5281F" w:rsidR="00B677B6" w:rsidRDefault="00B677B6" w:rsidP="00B677B6">
      <w:pPr>
        <w:pStyle w:val="ListParagraph"/>
        <w:numPr>
          <w:ilvl w:val="1"/>
          <w:numId w:val="4"/>
        </w:numPr>
      </w:pPr>
      <w:hyperlink w:anchor="_Catégorie_S_-" w:history="1">
        <w:r w:rsidRPr="007B5673">
          <w:rPr>
            <w:rStyle w:val="Hyperlink"/>
          </w:rPr>
          <w:t>Catégorie</w:t>
        </w:r>
        <w:r w:rsidR="0094453F">
          <w:rPr>
            <w:rStyle w:val="Hyperlink"/>
          </w:rPr>
          <w:t> </w:t>
        </w:r>
        <w:r w:rsidRPr="007B5673">
          <w:rPr>
            <w:rStyle w:val="Hyperlink"/>
          </w:rPr>
          <w:t xml:space="preserve">S </w:t>
        </w:r>
        <w:r w:rsidR="0094453F">
          <w:rPr>
            <w:rStyle w:val="Hyperlink"/>
          </w:rPr>
          <w:t>–</w:t>
        </w:r>
        <w:r w:rsidRPr="007B5673">
          <w:rPr>
            <w:rStyle w:val="Hyperlink"/>
          </w:rPr>
          <w:t xml:space="preserve"> </w:t>
        </w:r>
        <w:r w:rsidR="00CA2D6B">
          <w:rPr>
            <w:rStyle w:val="Hyperlink"/>
          </w:rPr>
          <w:t>c</w:t>
        </w:r>
        <w:r w:rsidRPr="007B5673">
          <w:rPr>
            <w:rStyle w:val="Hyperlink"/>
          </w:rPr>
          <w:t>atégorie particulière de marchandises</w:t>
        </w:r>
      </w:hyperlink>
    </w:p>
    <w:p w14:paraId="354CF8BD" w14:textId="1545EB4A" w:rsidR="00B677B6" w:rsidRDefault="00B677B6" w:rsidP="00B677B6">
      <w:pPr>
        <w:pStyle w:val="ListParagraph"/>
        <w:numPr>
          <w:ilvl w:val="1"/>
          <w:numId w:val="4"/>
        </w:numPr>
      </w:pPr>
      <w:hyperlink w:anchor="_Catégorie_PS_–" w:history="1">
        <w:r w:rsidRPr="007B5673">
          <w:rPr>
            <w:rStyle w:val="Hyperlink"/>
          </w:rPr>
          <w:t xml:space="preserve">Catégorie PS </w:t>
        </w:r>
        <w:r w:rsidR="00CA2AF7">
          <w:rPr>
            <w:rStyle w:val="Hyperlink"/>
          </w:rPr>
          <w:t>–</w:t>
        </w:r>
        <w:r w:rsidRPr="007B5673">
          <w:rPr>
            <w:rStyle w:val="Hyperlink"/>
          </w:rPr>
          <w:t xml:space="preserve"> </w:t>
        </w:r>
        <w:r w:rsidR="00CA2D6B">
          <w:rPr>
            <w:rStyle w:val="Hyperlink"/>
          </w:rPr>
          <w:t>v</w:t>
        </w:r>
        <w:r w:rsidRPr="007B5673">
          <w:rPr>
            <w:rStyle w:val="Hyperlink"/>
          </w:rPr>
          <w:t>oies d</w:t>
        </w:r>
        <w:r w:rsidR="00691A8A">
          <w:rPr>
            <w:rStyle w:val="Hyperlink"/>
          </w:rPr>
          <w:t>’</w:t>
        </w:r>
        <w:r w:rsidRPr="007B5673">
          <w:rPr>
            <w:rStyle w:val="Hyperlink"/>
          </w:rPr>
          <w:t>évitement privées</w:t>
        </w:r>
      </w:hyperlink>
    </w:p>
    <w:p w14:paraId="64EF446C" w14:textId="12960CB2" w:rsidR="00B677B6" w:rsidRDefault="00B677B6" w:rsidP="00B677B6">
      <w:pPr>
        <w:pStyle w:val="ListParagraph"/>
        <w:numPr>
          <w:ilvl w:val="1"/>
          <w:numId w:val="4"/>
        </w:numPr>
      </w:pPr>
      <w:hyperlink w:anchor="_Renseignements_sur_les" w:history="1">
        <w:r w:rsidRPr="007B5673">
          <w:rPr>
            <w:rStyle w:val="Hyperlink"/>
          </w:rPr>
          <w:t>Renseignements sur les pénalités</w:t>
        </w:r>
      </w:hyperlink>
    </w:p>
    <w:p w14:paraId="56B8DA91" w14:textId="366028AF" w:rsidR="00B677B6" w:rsidRDefault="00B677B6" w:rsidP="00880932">
      <w:pPr>
        <w:pStyle w:val="ListParagraph"/>
        <w:numPr>
          <w:ilvl w:val="1"/>
          <w:numId w:val="4"/>
        </w:numPr>
      </w:pPr>
      <w:hyperlink w:anchor="_Surveillance_et_contrôle" w:history="1">
        <w:r w:rsidRPr="007B5673">
          <w:rPr>
            <w:rStyle w:val="Hyperlink"/>
          </w:rPr>
          <w:t>Surveillance et contrôle des entrepôts d</w:t>
        </w:r>
        <w:r w:rsidR="00670A4F">
          <w:rPr>
            <w:rStyle w:val="Hyperlink"/>
          </w:rPr>
          <w:t>’</w:t>
        </w:r>
        <w:r w:rsidRPr="007B5673">
          <w:rPr>
            <w:rStyle w:val="Hyperlink"/>
          </w:rPr>
          <w:t>attente</w:t>
        </w:r>
      </w:hyperlink>
    </w:p>
    <w:p w14:paraId="69AD395B" w14:textId="270F5A69" w:rsidR="00B677B6" w:rsidRDefault="00B677B6" w:rsidP="008615BE">
      <w:pPr>
        <w:pStyle w:val="ListParagraph"/>
        <w:numPr>
          <w:ilvl w:val="0"/>
          <w:numId w:val="4"/>
        </w:numPr>
        <w:ind w:left="714" w:hanging="357"/>
      </w:pPr>
      <w:hyperlink w:anchor="_Annexe_A_-" w:history="1">
        <w:r w:rsidRPr="007B5673">
          <w:rPr>
            <w:rStyle w:val="Hyperlink"/>
          </w:rPr>
          <w:t xml:space="preserve">Annexe A – </w:t>
        </w:r>
        <w:r w:rsidR="00CA2D6B">
          <w:rPr>
            <w:rStyle w:val="Hyperlink"/>
          </w:rPr>
          <w:t>c</w:t>
        </w:r>
        <w:r w:rsidRPr="007B5673">
          <w:rPr>
            <w:rStyle w:val="Hyperlink"/>
          </w:rPr>
          <w:t>ontrat de manutention du fret</w:t>
        </w:r>
      </w:hyperlink>
    </w:p>
    <w:p w14:paraId="52783DC8" w14:textId="1C6A07E8" w:rsidR="008615BE" w:rsidRPr="007B5673" w:rsidRDefault="007B5673" w:rsidP="008615BE">
      <w:pPr>
        <w:pStyle w:val="ListParagraph"/>
        <w:numPr>
          <w:ilvl w:val="0"/>
          <w:numId w:val="4"/>
        </w:numPr>
        <w:ind w:left="714" w:hanging="357"/>
        <w:rPr>
          <w:rStyle w:val="Hyperlink"/>
        </w:rPr>
      </w:pPr>
      <w:r>
        <w:rPr>
          <w:rFonts w:cs="Arial"/>
        </w:rPr>
        <w:fldChar w:fldCharType="begin"/>
      </w:r>
      <w:r>
        <w:rPr>
          <w:rFonts w:cs="Arial"/>
        </w:rPr>
        <w:instrText>HYPERLINK  \l "_Références"</w:instrText>
      </w:r>
      <w:r>
        <w:rPr>
          <w:rFonts w:cs="Arial"/>
        </w:rPr>
      </w:r>
      <w:r>
        <w:rPr>
          <w:rFonts w:cs="Arial"/>
        </w:rPr>
        <w:fldChar w:fldCharType="separate"/>
      </w:r>
      <w:r w:rsidR="008615BE" w:rsidRPr="00880932">
        <w:rPr>
          <w:rStyle w:val="Hyperlink"/>
          <w:rFonts w:cs="Arial"/>
        </w:rPr>
        <w:t>Références</w:t>
      </w:r>
    </w:p>
    <w:p w14:paraId="30002054" w14:textId="20574483" w:rsidR="00B677B6" w:rsidRDefault="007B5673" w:rsidP="00B677B6">
      <w:pPr>
        <w:pStyle w:val="ListParagraph"/>
        <w:numPr>
          <w:ilvl w:val="1"/>
          <w:numId w:val="4"/>
        </w:numPr>
        <w:rPr>
          <w:rFonts w:cs="Arial"/>
        </w:rPr>
      </w:pPr>
      <w:r>
        <w:rPr>
          <w:rFonts w:cs="Arial"/>
        </w:rPr>
        <w:fldChar w:fldCharType="end"/>
      </w:r>
      <w:hyperlink w:anchor="_Lois_applicables" w:history="1">
        <w:r w:rsidR="00B677B6" w:rsidRPr="007C1C5D">
          <w:rPr>
            <w:rStyle w:val="Hyperlink"/>
            <w:rFonts w:cs="Arial"/>
          </w:rPr>
          <w:t>L</w:t>
        </w:r>
        <w:r w:rsidR="009E2BBA" w:rsidRPr="007C1C5D">
          <w:rPr>
            <w:rStyle w:val="Hyperlink"/>
            <w:rFonts w:cs="Arial"/>
          </w:rPr>
          <w:t>ois</w:t>
        </w:r>
        <w:r w:rsidR="00B677B6" w:rsidRPr="007C1C5D">
          <w:rPr>
            <w:rStyle w:val="Hyperlink"/>
            <w:rFonts w:cs="Arial"/>
          </w:rPr>
          <w:t xml:space="preserve"> applicable</w:t>
        </w:r>
        <w:r w:rsidR="009E2BBA" w:rsidRPr="007C1C5D">
          <w:rPr>
            <w:rStyle w:val="Hyperlink"/>
          </w:rPr>
          <w:t>s</w:t>
        </w:r>
      </w:hyperlink>
    </w:p>
    <w:p w14:paraId="3F800637" w14:textId="4D083917" w:rsidR="00B677B6" w:rsidRDefault="00B677B6" w:rsidP="00B677B6">
      <w:pPr>
        <w:pStyle w:val="ListParagraph"/>
        <w:numPr>
          <w:ilvl w:val="1"/>
          <w:numId w:val="4"/>
        </w:numPr>
        <w:rPr>
          <w:rFonts w:cs="Arial"/>
        </w:rPr>
      </w:pPr>
      <w:hyperlink w:anchor="_Mémorandum_applicable" w:history="1">
        <w:r w:rsidRPr="007B5673">
          <w:rPr>
            <w:rStyle w:val="Hyperlink"/>
            <w:rFonts w:cs="Arial"/>
          </w:rPr>
          <w:t>Mémorandum</w:t>
        </w:r>
        <w:r w:rsidR="009E2BBA">
          <w:rPr>
            <w:rStyle w:val="Hyperlink"/>
            <w:rFonts w:cs="Arial"/>
          </w:rPr>
          <w:t>s</w:t>
        </w:r>
        <w:r w:rsidRPr="007B5673">
          <w:rPr>
            <w:rStyle w:val="Hyperlink"/>
            <w:rFonts w:cs="Arial"/>
          </w:rPr>
          <w:t xml:space="preserve"> </w:t>
        </w:r>
        <w:r w:rsidR="009E2BBA">
          <w:rPr>
            <w:rStyle w:val="Hyperlink"/>
            <w:rFonts w:cs="Arial"/>
          </w:rPr>
          <w:t>connexes</w:t>
        </w:r>
      </w:hyperlink>
    </w:p>
    <w:p w14:paraId="27EFA1D7" w14:textId="35012953" w:rsidR="00B677B6" w:rsidRDefault="00B677B6" w:rsidP="00B677B6">
      <w:pPr>
        <w:pStyle w:val="ListParagraph"/>
        <w:numPr>
          <w:ilvl w:val="1"/>
          <w:numId w:val="4"/>
        </w:numPr>
        <w:rPr>
          <w:rFonts w:cs="Arial"/>
        </w:rPr>
      </w:pPr>
      <w:hyperlink w:anchor="_Mémorandum_D_précédent" w:history="1">
        <w:r w:rsidRPr="007B5673">
          <w:rPr>
            <w:rStyle w:val="Hyperlink"/>
            <w:rFonts w:cs="Arial"/>
          </w:rPr>
          <w:t>Mémorandum D précédent</w:t>
        </w:r>
      </w:hyperlink>
    </w:p>
    <w:p w14:paraId="6E6BDD6B" w14:textId="6028AF22" w:rsidR="00B677B6" w:rsidRPr="00B677B6" w:rsidRDefault="00B677B6" w:rsidP="00880932">
      <w:pPr>
        <w:pStyle w:val="ListParagraph"/>
        <w:numPr>
          <w:ilvl w:val="1"/>
          <w:numId w:val="4"/>
        </w:numPr>
        <w:rPr>
          <w:rFonts w:cs="Arial"/>
        </w:rPr>
      </w:pPr>
      <w:hyperlink w:anchor="_Bureau_de_diffusion" w:history="1">
        <w:r w:rsidRPr="007B5673">
          <w:rPr>
            <w:rStyle w:val="Hyperlink"/>
            <w:rFonts w:cs="Arial"/>
          </w:rPr>
          <w:t>Bureau de diffusion</w:t>
        </w:r>
      </w:hyperlink>
    </w:p>
    <w:p w14:paraId="69E70203" w14:textId="0313FBD5" w:rsidR="008615BE" w:rsidRPr="007B5673" w:rsidRDefault="007B5673" w:rsidP="008615BE">
      <w:pPr>
        <w:pStyle w:val="ListParagraph"/>
        <w:numPr>
          <w:ilvl w:val="0"/>
          <w:numId w:val="4"/>
        </w:numPr>
        <w:ind w:left="714" w:hanging="357"/>
        <w:rPr>
          <w:rStyle w:val="Hyperlink"/>
          <w:rFonts w:cs="Arial"/>
        </w:rPr>
      </w:pPr>
      <w:r>
        <w:rPr>
          <w:rFonts w:cs="Arial"/>
        </w:rPr>
        <w:lastRenderedPageBreak/>
        <w:fldChar w:fldCharType="begin"/>
      </w:r>
      <w:r>
        <w:rPr>
          <w:rFonts w:cs="Arial"/>
        </w:rPr>
        <w:instrText>HYPERLINK  \l "_Communiquer_avec_nous"</w:instrText>
      </w:r>
      <w:r>
        <w:rPr>
          <w:rFonts w:cs="Arial"/>
        </w:rPr>
      </w:r>
      <w:r>
        <w:rPr>
          <w:rFonts w:cs="Arial"/>
        </w:rPr>
        <w:fldChar w:fldCharType="separate"/>
      </w:r>
      <w:r w:rsidR="008615BE" w:rsidRPr="00880932">
        <w:rPr>
          <w:rStyle w:val="Hyperlink"/>
          <w:rFonts w:cs="Arial"/>
        </w:rPr>
        <w:t>Communiquer avec nous</w:t>
      </w:r>
    </w:p>
    <w:p w14:paraId="650588B1" w14:textId="4F831892" w:rsidR="00B677B6" w:rsidRPr="00A11EB9" w:rsidRDefault="007B5673" w:rsidP="00A11EB9">
      <w:pPr>
        <w:pStyle w:val="ListParagraph"/>
        <w:numPr>
          <w:ilvl w:val="0"/>
          <w:numId w:val="4"/>
        </w:numPr>
        <w:ind w:left="714" w:hanging="357"/>
        <w:rPr>
          <w:rFonts w:cs="Arial"/>
        </w:rPr>
      </w:pPr>
      <w:r>
        <w:rPr>
          <w:rFonts w:cs="Arial"/>
        </w:rPr>
        <w:fldChar w:fldCharType="end"/>
      </w:r>
      <w:hyperlink w:anchor="_Liens_applicable" w:history="1">
        <w:r w:rsidR="00B677B6" w:rsidRPr="007B5673">
          <w:rPr>
            <w:rStyle w:val="Hyperlink"/>
          </w:rPr>
          <w:t xml:space="preserve">Liens </w:t>
        </w:r>
        <w:r w:rsidR="00F04C63">
          <w:rPr>
            <w:rStyle w:val="Hyperlink"/>
          </w:rPr>
          <w:t>connexes</w:t>
        </w:r>
      </w:hyperlink>
    </w:p>
    <w:p w14:paraId="5E451D8E" w14:textId="77777777" w:rsidR="008615BE" w:rsidRPr="008615BE" w:rsidRDefault="008615BE" w:rsidP="008615BE">
      <w:pPr>
        <w:pStyle w:val="Heading2"/>
      </w:pPr>
      <w:bookmarkStart w:id="0" w:name="_Subheading_use_Heading"/>
      <w:bookmarkStart w:id="1" w:name="_Subheading_[HEADING_2]"/>
      <w:bookmarkStart w:id="2" w:name="_D-memo_updates"/>
      <w:bookmarkEnd w:id="0"/>
      <w:bookmarkEnd w:id="1"/>
      <w:bookmarkEnd w:id="2"/>
      <w:r w:rsidRPr="008615BE">
        <w:t xml:space="preserve">Mises à jour apportées à ce mémorandum D </w:t>
      </w:r>
    </w:p>
    <w:p w14:paraId="1C8BC314" w14:textId="7352847C" w:rsidR="008615BE" w:rsidRPr="00880932" w:rsidRDefault="008615BE" w:rsidP="008615BE">
      <w:pPr>
        <w:spacing w:line="345" w:lineRule="exact"/>
        <w:rPr>
          <w:rFonts w:ascii="Arial" w:hAnsi="Arial" w:cs="Arial"/>
          <w:sz w:val="24"/>
          <w:szCs w:val="24"/>
          <w:lang w:val="fr-CA"/>
        </w:rPr>
      </w:pPr>
      <w:r w:rsidRPr="00880932">
        <w:rPr>
          <w:rFonts w:ascii="Arial" w:hAnsi="Arial" w:cs="Arial"/>
          <w:sz w:val="24"/>
          <w:szCs w:val="24"/>
          <w:lang w:val="fr-CA"/>
        </w:rPr>
        <w:t xml:space="preserve">Le présent mémorandum a été </w:t>
      </w:r>
      <w:r w:rsidR="00143225" w:rsidRPr="00880932">
        <w:rPr>
          <w:rFonts w:ascii="Arial" w:hAnsi="Arial" w:cs="Arial"/>
          <w:sz w:val="24"/>
          <w:szCs w:val="24"/>
          <w:lang w:val="fr-CA"/>
        </w:rPr>
        <w:t>mis à jour afin d’inclure le nouveau formulaire d</w:t>
      </w:r>
      <w:r w:rsidR="006C4955">
        <w:rPr>
          <w:rFonts w:ascii="Arial" w:hAnsi="Arial" w:cs="Arial"/>
          <w:sz w:val="24"/>
          <w:szCs w:val="24"/>
          <w:lang w:val="fr-CA"/>
        </w:rPr>
        <w:t>’inscription</w:t>
      </w:r>
      <w:r w:rsidR="00143225" w:rsidRPr="00880932">
        <w:rPr>
          <w:rFonts w:ascii="Arial" w:hAnsi="Arial" w:cs="Arial"/>
          <w:sz w:val="24"/>
          <w:szCs w:val="24"/>
          <w:lang w:val="fr-CA"/>
        </w:rPr>
        <w:t xml:space="preserve"> d’</w:t>
      </w:r>
      <w:r w:rsidR="006C4955">
        <w:rPr>
          <w:rFonts w:ascii="Arial" w:hAnsi="Arial" w:cs="Arial"/>
          <w:sz w:val="24"/>
          <w:szCs w:val="24"/>
          <w:lang w:val="fr-CA"/>
        </w:rPr>
        <w:t xml:space="preserve">un </w:t>
      </w:r>
      <w:r w:rsidR="00143225" w:rsidRPr="00880932">
        <w:rPr>
          <w:rFonts w:ascii="Arial" w:hAnsi="Arial" w:cs="Arial"/>
          <w:sz w:val="24"/>
          <w:szCs w:val="24"/>
          <w:lang w:val="fr-CA"/>
        </w:rPr>
        <w:t>entrepôt d’attente des douanes – BSF897.</w:t>
      </w:r>
    </w:p>
    <w:p w14:paraId="38C79EB9" w14:textId="77777777" w:rsidR="008615BE" w:rsidRPr="008615BE" w:rsidRDefault="008615BE" w:rsidP="008615BE">
      <w:pPr>
        <w:pStyle w:val="Heading2"/>
      </w:pPr>
      <w:bookmarkStart w:id="3" w:name="_Another_subheading_use"/>
      <w:bookmarkStart w:id="4" w:name="_Another_subheading_[HEADING"/>
      <w:bookmarkEnd w:id="3"/>
      <w:bookmarkEnd w:id="4"/>
      <w:r w:rsidRPr="008615BE">
        <w:t xml:space="preserve">Définitions </w:t>
      </w:r>
    </w:p>
    <w:p w14:paraId="4A5518A1" w14:textId="77777777" w:rsidR="002D2362" w:rsidRPr="00880932" w:rsidRDefault="002D2362"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Agen</w:t>
      </w:r>
      <w:r w:rsidRPr="004622B0">
        <w:rPr>
          <w:rFonts w:ascii="Arial" w:hAnsi="Arial" w:cs="Arial"/>
          <w:b/>
          <w:bCs/>
          <w:sz w:val="24"/>
          <w:szCs w:val="24"/>
          <w:lang w:val="fr-CA"/>
        </w:rPr>
        <w:t>t d’e</w:t>
      </w:r>
      <w:r w:rsidRPr="00880932">
        <w:rPr>
          <w:rFonts w:ascii="Arial" w:hAnsi="Arial" w:cs="Arial"/>
          <w:b/>
          <w:bCs/>
          <w:sz w:val="24"/>
          <w:szCs w:val="24"/>
          <w:lang w:val="fr-CA"/>
        </w:rPr>
        <w:t>xpédition</w:t>
      </w:r>
      <w:r w:rsidRPr="00880932">
        <w:rPr>
          <w:rFonts w:ascii="Arial" w:hAnsi="Arial" w:cs="Arial"/>
          <w:sz w:val="24"/>
          <w:szCs w:val="24"/>
          <w:lang w:val="fr-CA"/>
        </w:rPr>
        <w:t xml:space="preserve"> » : personne qui fait transporter des marchandises spécifiées par un ou plusieurs transporteurs pour le compte d’un ou de plusieurs propriétaires, importateurs, expéditeurs ou destinataires. </w:t>
      </w:r>
    </w:p>
    <w:p w14:paraId="480AC9A5" w14:textId="3FB17505" w:rsidR="002D2362" w:rsidRPr="00880932" w:rsidRDefault="002D2362"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A</w:t>
      </w:r>
      <w:r w:rsidRPr="004622B0">
        <w:rPr>
          <w:rFonts w:ascii="Arial" w:hAnsi="Arial" w:cs="Arial"/>
          <w:b/>
          <w:bCs/>
          <w:sz w:val="24"/>
          <w:szCs w:val="24"/>
          <w:lang w:val="fr-CA"/>
        </w:rPr>
        <w:t>gré</w:t>
      </w:r>
      <w:r w:rsidRPr="00880932">
        <w:rPr>
          <w:rFonts w:ascii="Arial" w:hAnsi="Arial" w:cs="Arial"/>
          <w:b/>
          <w:bCs/>
          <w:sz w:val="24"/>
          <w:szCs w:val="24"/>
          <w:lang w:val="fr-CA"/>
        </w:rPr>
        <w:t>ment</w:t>
      </w:r>
      <w:r w:rsidRPr="00880932">
        <w:rPr>
          <w:rFonts w:ascii="Arial" w:hAnsi="Arial" w:cs="Arial"/>
          <w:sz w:val="24"/>
          <w:szCs w:val="24"/>
          <w:lang w:val="fr-CA"/>
        </w:rPr>
        <w:t xml:space="preserve"> » : agrément octroyé pour l’exploitation d’un emplacement comme entrepôt d’attente </w:t>
      </w:r>
      <w:r w:rsidR="009E034C">
        <w:rPr>
          <w:rFonts w:ascii="Arial" w:hAnsi="Arial" w:cs="Arial"/>
          <w:sz w:val="24"/>
          <w:szCs w:val="24"/>
          <w:lang w:val="fr-CA"/>
        </w:rPr>
        <w:t>au sens de</w:t>
      </w:r>
      <w:r w:rsidRPr="00880932">
        <w:rPr>
          <w:rFonts w:ascii="Arial" w:hAnsi="Arial" w:cs="Arial"/>
          <w:sz w:val="24"/>
          <w:szCs w:val="24"/>
          <w:lang w:val="fr-CA"/>
        </w:rPr>
        <w:t xml:space="preserve"> l’article 24 de la </w:t>
      </w:r>
      <w:hyperlink r:id="rId7" w:anchor="h-136291" w:history="1">
        <w:r w:rsidRPr="00880932">
          <w:rPr>
            <w:rStyle w:val="Hyperlink"/>
            <w:rFonts w:ascii="Arial" w:hAnsi="Arial" w:cs="Arial"/>
            <w:i/>
            <w:iCs/>
            <w:sz w:val="24"/>
            <w:szCs w:val="24"/>
            <w:lang w:val="fr-CA"/>
          </w:rPr>
          <w:t>Loi sur les douanes</w:t>
        </w:r>
      </w:hyperlink>
      <w:r w:rsidRPr="00880932">
        <w:rPr>
          <w:rFonts w:ascii="Arial" w:hAnsi="Arial" w:cs="Arial"/>
          <w:sz w:val="24"/>
          <w:szCs w:val="24"/>
          <w:lang w:val="fr-CA"/>
        </w:rPr>
        <w:t>.</w:t>
      </w:r>
    </w:p>
    <w:p w14:paraId="615EAAA3" w14:textId="3065AF82" w:rsidR="002D2362" w:rsidRPr="00880932" w:rsidRDefault="002D2362"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Dé</w:t>
      </w:r>
      <w:r w:rsidRPr="004622B0">
        <w:rPr>
          <w:rFonts w:ascii="Arial" w:hAnsi="Arial" w:cs="Arial"/>
          <w:b/>
          <w:bCs/>
          <w:sz w:val="24"/>
          <w:szCs w:val="24"/>
          <w:lang w:val="fr-CA"/>
        </w:rPr>
        <w:t>grou</w:t>
      </w:r>
      <w:r w:rsidRPr="00880932">
        <w:rPr>
          <w:rFonts w:ascii="Arial" w:hAnsi="Arial" w:cs="Arial"/>
          <w:b/>
          <w:bCs/>
          <w:sz w:val="24"/>
          <w:szCs w:val="24"/>
          <w:lang w:val="fr-CA"/>
        </w:rPr>
        <w:t>pement</w:t>
      </w:r>
      <w:r w:rsidRPr="00880932">
        <w:rPr>
          <w:rFonts w:ascii="Arial" w:hAnsi="Arial" w:cs="Arial"/>
          <w:sz w:val="24"/>
          <w:szCs w:val="24"/>
          <w:lang w:val="fr-CA"/>
        </w:rPr>
        <w:t xml:space="preserve"> » : processus par lequel une expédition groupée est divisée en expéditions distinctes ayant des destinataires distincts. </w:t>
      </w:r>
    </w:p>
    <w:p w14:paraId="59D85853" w14:textId="29D166BA" w:rsidR="002D2362" w:rsidRPr="00880932" w:rsidRDefault="002D2362"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D</w:t>
      </w:r>
      <w:r w:rsidRPr="004622B0">
        <w:rPr>
          <w:rFonts w:ascii="Arial" w:hAnsi="Arial" w:cs="Arial"/>
          <w:b/>
          <w:bCs/>
          <w:sz w:val="24"/>
          <w:szCs w:val="24"/>
          <w:lang w:val="fr-CA"/>
        </w:rPr>
        <w:t>ema</w:t>
      </w:r>
      <w:r w:rsidRPr="00880932">
        <w:rPr>
          <w:rFonts w:ascii="Arial" w:hAnsi="Arial" w:cs="Arial"/>
          <w:b/>
          <w:bCs/>
          <w:sz w:val="24"/>
          <w:szCs w:val="24"/>
          <w:lang w:val="fr-CA"/>
        </w:rPr>
        <w:t>ndeur</w:t>
      </w:r>
      <w:r w:rsidRPr="00880932">
        <w:rPr>
          <w:rFonts w:ascii="Arial" w:hAnsi="Arial" w:cs="Arial"/>
          <w:sz w:val="24"/>
          <w:szCs w:val="24"/>
          <w:lang w:val="fr-CA"/>
        </w:rPr>
        <w:t> » : personne, partenariat ou société qui demande un agrément.</w:t>
      </w:r>
    </w:p>
    <w:p w14:paraId="3FA56BD1" w14:textId="41BBBB78" w:rsidR="00A11EB9" w:rsidRPr="00880932" w:rsidRDefault="00A11EB9"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E</w:t>
      </w:r>
      <w:r w:rsidRPr="004622B0">
        <w:rPr>
          <w:rFonts w:ascii="Arial" w:hAnsi="Arial" w:cs="Arial"/>
          <w:b/>
          <w:bCs/>
          <w:sz w:val="24"/>
          <w:szCs w:val="24"/>
          <w:lang w:val="fr-CA"/>
        </w:rPr>
        <w:t>xploi</w:t>
      </w:r>
      <w:r w:rsidRPr="00880932">
        <w:rPr>
          <w:rFonts w:ascii="Arial" w:hAnsi="Arial" w:cs="Arial"/>
          <w:b/>
          <w:bCs/>
          <w:sz w:val="24"/>
          <w:szCs w:val="24"/>
          <w:lang w:val="fr-CA"/>
        </w:rPr>
        <w:t>tant</w:t>
      </w:r>
      <w:r w:rsidRPr="00880932">
        <w:rPr>
          <w:rFonts w:ascii="Arial" w:hAnsi="Arial" w:cs="Arial"/>
          <w:sz w:val="24"/>
          <w:szCs w:val="24"/>
          <w:lang w:val="fr-CA"/>
        </w:rPr>
        <w:t xml:space="preserve"> » : personne, partenariat ou société à qui un agrément d’entrepôt d’attente a été octroyé. </w:t>
      </w:r>
    </w:p>
    <w:p w14:paraId="6CC4CC24" w14:textId="15E310EB" w:rsidR="002D2362" w:rsidRPr="00880932" w:rsidRDefault="002D2362"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Ex</w:t>
      </w:r>
      <w:r w:rsidRPr="004622B0">
        <w:rPr>
          <w:rFonts w:ascii="Arial" w:hAnsi="Arial" w:cs="Arial"/>
          <w:b/>
          <w:bCs/>
          <w:sz w:val="24"/>
          <w:szCs w:val="24"/>
          <w:lang w:val="fr-CA"/>
        </w:rPr>
        <w:t>ploitan</w:t>
      </w:r>
      <w:r w:rsidRPr="00880932">
        <w:rPr>
          <w:rFonts w:ascii="Arial" w:hAnsi="Arial" w:cs="Arial"/>
          <w:b/>
          <w:bCs/>
          <w:sz w:val="24"/>
          <w:szCs w:val="24"/>
          <w:lang w:val="fr-CA"/>
        </w:rPr>
        <w:t>t d’entrepôt d’accise</w:t>
      </w:r>
      <w:r w:rsidRPr="00880932">
        <w:rPr>
          <w:rFonts w:ascii="Arial" w:hAnsi="Arial" w:cs="Arial"/>
          <w:sz w:val="24"/>
          <w:szCs w:val="24"/>
          <w:lang w:val="fr-CA"/>
        </w:rPr>
        <w:t xml:space="preserve"> » : détenteur d’un agrément d’entrepôt d’accise </w:t>
      </w:r>
      <w:r w:rsidR="00B23454">
        <w:rPr>
          <w:rFonts w:ascii="Arial" w:hAnsi="Arial" w:cs="Arial"/>
          <w:sz w:val="24"/>
          <w:szCs w:val="24"/>
          <w:lang w:val="fr-CA"/>
        </w:rPr>
        <w:t>au sens de</w:t>
      </w:r>
      <w:r w:rsidRPr="00880932">
        <w:rPr>
          <w:rFonts w:ascii="Arial" w:hAnsi="Arial" w:cs="Arial"/>
          <w:sz w:val="24"/>
          <w:szCs w:val="24"/>
          <w:lang w:val="fr-CA"/>
        </w:rPr>
        <w:t xml:space="preserve"> l’article 19 de la </w:t>
      </w:r>
      <w:hyperlink r:id="rId8" w:anchor="h-174583" w:history="1">
        <w:r w:rsidRPr="00880932">
          <w:rPr>
            <w:rStyle w:val="Hyperlink"/>
            <w:rFonts w:ascii="Arial" w:hAnsi="Arial" w:cs="Arial"/>
            <w:i/>
            <w:iCs/>
            <w:sz w:val="24"/>
            <w:szCs w:val="24"/>
            <w:lang w:val="fr-CA"/>
          </w:rPr>
          <w:t>Loi de 2001 sur l’accise</w:t>
        </w:r>
      </w:hyperlink>
      <w:r w:rsidRPr="00880932">
        <w:rPr>
          <w:rFonts w:ascii="Arial" w:hAnsi="Arial" w:cs="Arial"/>
          <w:sz w:val="24"/>
          <w:szCs w:val="24"/>
          <w:lang w:val="fr-CA"/>
        </w:rPr>
        <w:t>.</w:t>
      </w:r>
    </w:p>
    <w:p w14:paraId="134D0007" w14:textId="3928209F" w:rsidR="002D2362" w:rsidRPr="00880932" w:rsidRDefault="002D2362"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Fre</w:t>
      </w:r>
      <w:r w:rsidRPr="004622B0">
        <w:rPr>
          <w:rFonts w:ascii="Arial" w:hAnsi="Arial" w:cs="Arial"/>
          <w:b/>
          <w:bCs/>
          <w:sz w:val="24"/>
          <w:szCs w:val="24"/>
          <w:lang w:val="fr-CA"/>
        </w:rPr>
        <w:t>t en</w:t>
      </w:r>
      <w:r w:rsidRPr="00880932">
        <w:rPr>
          <w:rFonts w:ascii="Arial" w:hAnsi="Arial" w:cs="Arial"/>
          <w:b/>
          <w:bCs/>
          <w:sz w:val="24"/>
          <w:szCs w:val="24"/>
          <w:lang w:val="fr-CA"/>
        </w:rPr>
        <w:t xml:space="preserve"> vrac</w:t>
      </w:r>
      <w:r w:rsidRPr="00880932">
        <w:rPr>
          <w:rFonts w:ascii="Arial" w:hAnsi="Arial" w:cs="Arial"/>
          <w:sz w:val="24"/>
          <w:szCs w:val="24"/>
          <w:lang w:val="fr-CA"/>
        </w:rPr>
        <w:t> » : marchandises libres ou pêle</w:t>
      </w:r>
      <w:r w:rsidRPr="00880932">
        <w:rPr>
          <w:rFonts w:ascii="Arial" w:hAnsi="Arial" w:cs="Arial"/>
          <w:sz w:val="24"/>
          <w:szCs w:val="24"/>
          <w:lang w:val="fr-CA"/>
        </w:rPr>
        <w:noBreakHyphen/>
        <w:t>mêle, dont le confinement est assuré seulement par les structures permanentes du navire, sans aucun moyen intermédiaire de confinement ni emballage intermédiaire.</w:t>
      </w:r>
    </w:p>
    <w:p w14:paraId="2AAFA93F" w14:textId="40362C98" w:rsidR="002D2362" w:rsidRPr="00880932" w:rsidRDefault="002D2362"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Gestion d</w:t>
      </w:r>
      <w:r w:rsidRPr="004622B0">
        <w:rPr>
          <w:rFonts w:ascii="Arial" w:hAnsi="Arial" w:cs="Arial"/>
          <w:b/>
          <w:bCs/>
          <w:sz w:val="24"/>
          <w:szCs w:val="24"/>
          <w:lang w:val="fr-CA"/>
        </w:rPr>
        <w:t>es cotisat</w:t>
      </w:r>
      <w:r w:rsidRPr="00880932">
        <w:rPr>
          <w:rFonts w:ascii="Arial" w:hAnsi="Arial" w:cs="Arial"/>
          <w:b/>
          <w:bCs/>
          <w:sz w:val="24"/>
          <w:szCs w:val="24"/>
          <w:lang w:val="fr-CA"/>
        </w:rPr>
        <w:t>ions et des recettes de l’ASFC (GCRA)</w:t>
      </w:r>
      <w:r w:rsidRPr="00880932">
        <w:rPr>
          <w:rFonts w:ascii="Arial" w:hAnsi="Arial" w:cs="Arial"/>
          <w:sz w:val="24"/>
          <w:szCs w:val="24"/>
          <w:lang w:val="fr-CA"/>
        </w:rPr>
        <w:t xml:space="preserve"> » : système de perception des droits et des taxes mis au point afin de moderniser et de simplifier le processus d’importation de marchandises au Canada. </w:t>
      </w:r>
    </w:p>
    <w:p w14:paraId="25B89FC4" w14:textId="5B68BCFE" w:rsidR="00A11EB9" w:rsidRPr="00880932" w:rsidRDefault="00A11EB9"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 xml:space="preserve">Lieu </w:t>
      </w:r>
      <w:r w:rsidRPr="004622B0">
        <w:rPr>
          <w:rFonts w:ascii="Arial" w:hAnsi="Arial" w:cs="Arial"/>
          <w:b/>
          <w:bCs/>
          <w:sz w:val="24"/>
          <w:szCs w:val="24"/>
          <w:lang w:val="fr-CA"/>
        </w:rPr>
        <w:t>de d</w:t>
      </w:r>
      <w:r w:rsidRPr="00880932">
        <w:rPr>
          <w:rFonts w:ascii="Arial" w:hAnsi="Arial" w:cs="Arial"/>
          <w:b/>
          <w:bCs/>
          <w:sz w:val="24"/>
          <w:szCs w:val="24"/>
          <w:lang w:val="fr-CA"/>
        </w:rPr>
        <w:t>épôt</w:t>
      </w:r>
      <w:r w:rsidRPr="00880932">
        <w:rPr>
          <w:rFonts w:ascii="Arial" w:hAnsi="Arial" w:cs="Arial"/>
          <w:sz w:val="24"/>
          <w:szCs w:val="24"/>
          <w:lang w:val="fr-CA"/>
        </w:rPr>
        <w:t xml:space="preserve"> » : lieu désigné par le ministre conformément à l’article 37 de la </w:t>
      </w:r>
      <w:hyperlink r:id="rId9" w:anchor="h-136521" w:history="1">
        <w:r w:rsidRPr="00880932">
          <w:rPr>
            <w:rStyle w:val="Hyperlink"/>
            <w:rFonts w:ascii="Arial" w:hAnsi="Arial" w:cs="Arial"/>
            <w:i/>
            <w:iCs/>
            <w:sz w:val="24"/>
            <w:szCs w:val="24"/>
            <w:lang w:val="fr-CA"/>
          </w:rPr>
          <w:t>Loi sur les douanes</w:t>
        </w:r>
      </w:hyperlink>
      <w:r w:rsidRPr="00880932">
        <w:rPr>
          <w:rFonts w:ascii="Arial" w:hAnsi="Arial" w:cs="Arial"/>
          <w:sz w:val="24"/>
          <w:szCs w:val="24"/>
          <w:lang w:val="fr-CA"/>
        </w:rPr>
        <w:t xml:space="preserve"> pour le dépôt des marchandises.</w:t>
      </w:r>
    </w:p>
    <w:p w14:paraId="2EE91241" w14:textId="5EA797AA" w:rsidR="00A11EB9" w:rsidRPr="00880932" w:rsidRDefault="008615BE" w:rsidP="00880932">
      <w:pPr>
        <w:spacing w:line="345" w:lineRule="exact"/>
        <w:rPr>
          <w:rFonts w:ascii="Arial" w:hAnsi="Arial" w:cs="Arial"/>
          <w:sz w:val="24"/>
          <w:szCs w:val="24"/>
          <w:lang w:val="fr-CA"/>
        </w:rPr>
      </w:pPr>
      <w:r w:rsidRPr="00880932">
        <w:rPr>
          <w:rFonts w:ascii="Arial" w:hAnsi="Arial" w:cs="Arial"/>
          <w:sz w:val="24"/>
          <w:szCs w:val="24"/>
          <w:lang w:val="fr-CA"/>
        </w:rPr>
        <w:lastRenderedPageBreak/>
        <w:t>« </w:t>
      </w:r>
      <w:r w:rsidRPr="004622B0">
        <w:rPr>
          <w:rFonts w:ascii="Arial" w:hAnsi="Arial" w:cs="Arial"/>
          <w:b/>
          <w:bCs/>
          <w:sz w:val="24"/>
          <w:szCs w:val="24"/>
          <w:lang w:val="fr-CA"/>
        </w:rPr>
        <w:t>Lo</w:t>
      </w:r>
      <w:r w:rsidRPr="00880932">
        <w:rPr>
          <w:rFonts w:ascii="Arial" w:hAnsi="Arial" w:cs="Arial"/>
          <w:b/>
          <w:bCs/>
          <w:sz w:val="24"/>
          <w:szCs w:val="24"/>
          <w:lang w:val="fr-CA"/>
        </w:rPr>
        <w:t>i</w:t>
      </w:r>
      <w:r w:rsidRPr="00880932">
        <w:rPr>
          <w:rFonts w:ascii="Arial" w:hAnsi="Arial" w:cs="Arial"/>
          <w:sz w:val="24"/>
          <w:szCs w:val="24"/>
          <w:lang w:val="fr-CA"/>
        </w:rPr>
        <w:t xml:space="preserve"> » : </w:t>
      </w:r>
      <w:hyperlink r:id="rId10" w:history="1">
        <w:r w:rsidRPr="00880932">
          <w:rPr>
            <w:rStyle w:val="Hyperlink"/>
            <w:rFonts w:ascii="Arial" w:hAnsi="Arial" w:cs="Arial"/>
            <w:i/>
            <w:iCs/>
            <w:sz w:val="24"/>
            <w:szCs w:val="24"/>
            <w:lang w:val="fr-CA"/>
          </w:rPr>
          <w:t>Loi sur les douanes</w:t>
        </w:r>
      </w:hyperlink>
      <w:r w:rsidRPr="00880932">
        <w:rPr>
          <w:rFonts w:ascii="Arial" w:hAnsi="Arial" w:cs="Arial"/>
          <w:sz w:val="24"/>
          <w:szCs w:val="24"/>
          <w:lang w:val="fr-CA"/>
        </w:rPr>
        <w:t>.</w:t>
      </w:r>
    </w:p>
    <w:p w14:paraId="6A52C422" w14:textId="5C274685" w:rsidR="008615BE" w:rsidRPr="00880932" w:rsidRDefault="008615BE"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Mar</w:t>
      </w:r>
      <w:r w:rsidRPr="004622B0">
        <w:rPr>
          <w:rFonts w:ascii="Arial" w:hAnsi="Arial" w:cs="Arial"/>
          <w:b/>
          <w:bCs/>
          <w:sz w:val="24"/>
          <w:szCs w:val="24"/>
          <w:lang w:val="fr-CA"/>
        </w:rPr>
        <w:t>cha</w:t>
      </w:r>
      <w:r w:rsidRPr="00880932">
        <w:rPr>
          <w:rFonts w:ascii="Arial" w:hAnsi="Arial" w:cs="Arial"/>
          <w:b/>
          <w:bCs/>
          <w:sz w:val="24"/>
          <w:szCs w:val="24"/>
          <w:lang w:val="fr-CA"/>
        </w:rPr>
        <w:t>ndises diverses</w:t>
      </w:r>
      <w:r w:rsidRPr="00880932">
        <w:rPr>
          <w:rFonts w:ascii="Arial" w:hAnsi="Arial" w:cs="Arial"/>
          <w:sz w:val="24"/>
          <w:szCs w:val="24"/>
          <w:lang w:val="fr-CA"/>
        </w:rPr>
        <w:t> » : marchandises spécifiées autres que :</w:t>
      </w:r>
    </w:p>
    <w:p w14:paraId="043B2FB6" w14:textId="0D97965E" w:rsidR="008615BE" w:rsidRPr="00AB3B6E" w:rsidRDefault="00AA4410" w:rsidP="00AB3B6E">
      <w:pPr>
        <w:pStyle w:val="ListParagraph"/>
        <w:numPr>
          <w:ilvl w:val="0"/>
          <w:numId w:val="20"/>
        </w:numPr>
        <w:rPr>
          <w:rFonts w:cs="Arial"/>
          <w:szCs w:val="24"/>
        </w:rPr>
      </w:pPr>
      <w:r>
        <w:rPr>
          <w:rFonts w:cs="Arial"/>
          <w:szCs w:val="24"/>
        </w:rPr>
        <w:t xml:space="preserve">les </w:t>
      </w:r>
      <w:r w:rsidR="008615BE" w:rsidRPr="00AB3B6E">
        <w:rPr>
          <w:rFonts w:cs="Arial"/>
          <w:szCs w:val="24"/>
        </w:rPr>
        <w:t xml:space="preserve">marchandises </w:t>
      </w:r>
      <w:r w:rsidR="009C460F">
        <w:rPr>
          <w:rFonts w:cs="Arial"/>
          <w:szCs w:val="24"/>
        </w:rPr>
        <w:t xml:space="preserve">qui se trouvent </w:t>
      </w:r>
      <w:r w:rsidR="008615BE" w:rsidRPr="00AB3B6E">
        <w:rPr>
          <w:rFonts w:cs="Arial"/>
          <w:szCs w:val="24"/>
        </w:rPr>
        <w:t xml:space="preserve">dans </w:t>
      </w:r>
      <w:r w:rsidR="009C460F">
        <w:rPr>
          <w:rFonts w:cs="Arial"/>
          <w:szCs w:val="24"/>
        </w:rPr>
        <w:t>d</w:t>
      </w:r>
      <w:r w:rsidR="008615BE" w:rsidRPr="00AB3B6E">
        <w:rPr>
          <w:rFonts w:cs="Arial"/>
          <w:szCs w:val="24"/>
        </w:rPr>
        <w:t>es conteneurs</w:t>
      </w:r>
      <w:r w:rsidR="009C460F">
        <w:rPr>
          <w:rFonts w:cs="Arial"/>
          <w:szCs w:val="24"/>
        </w:rPr>
        <w:t>;</w:t>
      </w:r>
    </w:p>
    <w:p w14:paraId="6DA2070C" w14:textId="22E9DA64" w:rsidR="008615BE" w:rsidRPr="00AB3B6E" w:rsidRDefault="009C460F" w:rsidP="00AB3B6E">
      <w:pPr>
        <w:pStyle w:val="ListParagraph"/>
        <w:numPr>
          <w:ilvl w:val="0"/>
          <w:numId w:val="20"/>
        </w:numPr>
        <w:rPr>
          <w:rFonts w:cs="Arial"/>
          <w:szCs w:val="24"/>
        </w:rPr>
      </w:pPr>
      <w:r>
        <w:rPr>
          <w:rFonts w:cs="Arial"/>
          <w:szCs w:val="24"/>
        </w:rPr>
        <w:t xml:space="preserve">les </w:t>
      </w:r>
      <w:r w:rsidR="008615BE" w:rsidRPr="00AB3B6E">
        <w:rPr>
          <w:rFonts w:cs="Arial"/>
          <w:szCs w:val="24"/>
        </w:rPr>
        <w:t>marchandises en vrac</w:t>
      </w:r>
      <w:r>
        <w:rPr>
          <w:rFonts w:cs="Arial"/>
          <w:szCs w:val="24"/>
        </w:rPr>
        <w:t>;</w:t>
      </w:r>
    </w:p>
    <w:p w14:paraId="7BF53E75" w14:textId="430A20CE" w:rsidR="008615BE" w:rsidRPr="00AB3B6E" w:rsidRDefault="001937E5" w:rsidP="00AB3B6E">
      <w:pPr>
        <w:pStyle w:val="ListParagraph"/>
        <w:numPr>
          <w:ilvl w:val="0"/>
          <w:numId w:val="20"/>
        </w:numPr>
        <w:rPr>
          <w:rFonts w:cs="Arial"/>
          <w:szCs w:val="24"/>
        </w:rPr>
      </w:pPr>
      <w:r>
        <w:rPr>
          <w:rFonts w:cs="Arial"/>
          <w:szCs w:val="24"/>
        </w:rPr>
        <w:t xml:space="preserve">les </w:t>
      </w:r>
      <w:r w:rsidR="008615BE" w:rsidRPr="00AB3B6E">
        <w:rPr>
          <w:rFonts w:cs="Arial"/>
          <w:szCs w:val="24"/>
        </w:rPr>
        <w:t>conteneurs vides.</w:t>
      </w:r>
    </w:p>
    <w:p w14:paraId="2A51912A" w14:textId="77777777" w:rsidR="002D2362" w:rsidRPr="00880932" w:rsidRDefault="008615BE" w:rsidP="00880932">
      <w:pPr>
        <w:spacing w:line="345" w:lineRule="exact"/>
        <w:rPr>
          <w:rFonts w:ascii="Arial" w:hAnsi="Arial" w:cs="Arial"/>
          <w:sz w:val="24"/>
          <w:szCs w:val="24"/>
          <w:lang w:val="fr-CA"/>
        </w:rPr>
      </w:pPr>
      <w:r w:rsidRPr="00880932">
        <w:rPr>
          <w:rFonts w:ascii="Arial" w:hAnsi="Arial" w:cs="Arial"/>
          <w:sz w:val="24"/>
          <w:szCs w:val="24"/>
          <w:lang w:val="fr-CA"/>
        </w:rPr>
        <w:t>Les marchandises diverses comprennent également le matériel d’exploitation du pétrole et du gaz naturel, le matériel de construction et les automobiles.</w:t>
      </w:r>
    </w:p>
    <w:p w14:paraId="1550FF94" w14:textId="765E5A53" w:rsidR="00A11EB9" w:rsidRPr="00880932" w:rsidRDefault="002D2362"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N</w:t>
      </w:r>
      <w:r w:rsidRPr="004622B0">
        <w:rPr>
          <w:rFonts w:ascii="Arial" w:hAnsi="Arial" w:cs="Arial"/>
          <w:b/>
          <w:bCs/>
          <w:sz w:val="24"/>
          <w:szCs w:val="24"/>
          <w:lang w:val="fr-CA"/>
        </w:rPr>
        <w:t>AV</w:t>
      </w:r>
      <w:r w:rsidRPr="00880932">
        <w:rPr>
          <w:rFonts w:ascii="Arial" w:hAnsi="Arial" w:cs="Arial"/>
          <w:b/>
          <w:bCs/>
          <w:sz w:val="24"/>
          <w:szCs w:val="24"/>
          <w:lang w:val="fr-CA"/>
        </w:rPr>
        <w:t>/C</w:t>
      </w:r>
      <w:r w:rsidRPr="00880932">
        <w:rPr>
          <w:rFonts w:ascii="Arial" w:hAnsi="Arial" w:cs="Arial"/>
          <w:sz w:val="24"/>
          <w:szCs w:val="24"/>
          <w:lang w:val="fr-CA"/>
        </w:rPr>
        <w:t> »</w:t>
      </w:r>
      <w:r w:rsidR="00AB3B6E">
        <w:rPr>
          <w:rFonts w:ascii="Arial" w:hAnsi="Arial" w:cs="Arial"/>
          <w:sz w:val="24"/>
          <w:szCs w:val="24"/>
          <w:lang w:val="fr-CA"/>
        </w:rPr>
        <w:t> :</w:t>
      </w:r>
      <w:r w:rsidRPr="00880932">
        <w:rPr>
          <w:rFonts w:ascii="Arial" w:hAnsi="Arial" w:cs="Arial"/>
          <w:sz w:val="24"/>
          <w:szCs w:val="24"/>
          <w:lang w:val="fr-CA"/>
        </w:rPr>
        <w:t xml:space="preserve"> point d’entrée maritime autorisé où les navires de fret maritime et commerciaux, autres que les traversiers et navires de croisière, mais </w:t>
      </w:r>
      <w:r w:rsidR="00312E38">
        <w:rPr>
          <w:rFonts w:ascii="Arial" w:hAnsi="Arial" w:cs="Arial"/>
          <w:sz w:val="24"/>
          <w:szCs w:val="24"/>
          <w:lang w:val="fr-CA"/>
        </w:rPr>
        <w:t>comprenant</w:t>
      </w:r>
      <w:r w:rsidRPr="00880932">
        <w:rPr>
          <w:rFonts w:ascii="Arial" w:hAnsi="Arial" w:cs="Arial"/>
          <w:sz w:val="24"/>
          <w:szCs w:val="24"/>
          <w:lang w:val="fr-CA"/>
        </w:rPr>
        <w:t xml:space="preserve"> d’autres navires commerciaux de passagers</w:t>
      </w:r>
      <w:r w:rsidR="00587C56">
        <w:rPr>
          <w:rFonts w:ascii="Arial" w:hAnsi="Arial" w:cs="Arial"/>
          <w:sz w:val="24"/>
          <w:szCs w:val="24"/>
          <w:lang w:val="fr-CA"/>
        </w:rPr>
        <w:t>,</w:t>
      </w:r>
      <w:r w:rsidRPr="00880932">
        <w:rPr>
          <w:rFonts w:ascii="Arial" w:hAnsi="Arial" w:cs="Arial"/>
          <w:sz w:val="24"/>
          <w:szCs w:val="24"/>
          <w:lang w:val="fr-CA"/>
        </w:rPr>
        <w:t xml:space="preserve"> tels que des bateaux d’excursion et </w:t>
      </w:r>
      <w:r w:rsidR="00312E38">
        <w:rPr>
          <w:rFonts w:ascii="Arial" w:hAnsi="Arial" w:cs="Arial"/>
          <w:sz w:val="24"/>
          <w:szCs w:val="24"/>
          <w:lang w:val="fr-CA"/>
        </w:rPr>
        <w:t xml:space="preserve">des </w:t>
      </w:r>
      <w:r w:rsidRPr="00880932">
        <w:rPr>
          <w:rFonts w:ascii="Arial" w:hAnsi="Arial" w:cs="Arial"/>
          <w:sz w:val="24"/>
          <w:szCs w:val="24"/>
          <w:lang w:val="fr-CA"/>
        </w:rPr>
        <w:t>bateaux nolisés (par exemple, observations de baleines, expéditions de pêche, tourisme) font la déclaration d’entrée à l’ASFC.</w:t>
      </w:r>
    </w:p>
    <w:p w14:paraId="60AB0FEC" w14:textId="61D42934" w:rsidR="002D2362" w:rsidRPr="00880932" w:rsidRDefault="00A11EB9"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No</w:t>
      </w:r>
      <w:r w:rsidRPr="004622B0">
        <w:rPr>
          <w:rFonts w:ascii="Arial" w:hAnsi="Arial" w:cs="Arial"/>
          <w:b/>
          <w:bCs/>
          <w:sz w:val="24"/>
          <w:szCs w:val="24"/>
          <w:lang w:val="fr-CA"/>
        </w:rPr>
        <w:t>uve</w:t>
      </w:r>
      <w:r w:rsidRPr="00880932">
        <w:rPr>
          <w:rFonts w:ascii="Arial" w:hAnsi="Arial" w:cs="Arial"/>
          <w:b/>
          <w:bCs/>
          <w:sz w:val="24"/>
          <w:szCs w:val="24"/>
          <w:lang w:val="fr-CA"/>
        </w:rPr>
        <w:t>au manifeste</w:t>
      </w:r>
      <w:r w:rsidRPr="00880932">
        <w:rPr>
          <w:rFonts w:ascii="Arial" w:hAnsi="Arial" w:cs="Arial"/>
          <w:sz w:val="24"/>
          <w:szCs w:val="24"/>
          <w:lang w:val="fr-CA"/>
        </w:rPr>
        <w:t> » : nouveau document de contrôle du fret, portant un nouveau numéro de contrôle du fret, qui est présenté pour modifier un document de contrôle du fret présenté antérieurement à l’ASFC. Les nouveaux manifestes visent généralement à modifier le bureau de destination ou le code de transporteur.</w:t>
      </w:r>
    </w:p>
    <w:p w14:paraId="20B2E5B5" w14:textId="1CBC11DF" w:rsidR="00A11EB9" w:rsidRPr="00880932" w:rsidRDefault="002D2362"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Po</w:t>
      </w:r>
      <w:r w:rsidRPr="004622B0">
        <w:rPr>
          <w:rFonts w:ascii="Arial" w:hAnsi="Arial" w:cs="Arial"/>
          <w:b/>
          <w:bCs/>
          <w:sz w:val="24"/>
          <w:szCs w:val="24"/>
          <w:lang w:val="fr-CA"/>
        </w:rPr>
        <w:t>rtail</w:t>
      </w:r>
      <w:r w:rsidRPr="00880932">
        <w:rPr>
          <w:rFonts w:ascii="Arial" w:hAnsi="Arial" w:cs="Arial"/>
          <w:b/>
          <w:bCs/>
          <w:sz w:val="24"/>
          <w:szCs w:val="24"/>
          <w:lang w:val="fr-CA"/>
        </w:rPr>
        <w:t xml:space="preserve"> client de la GCRA</w:t>
      </w:r>
      <w:r w:rsidRPr="00880932">
        <w:rPr>
          <w:rFonts w:ascii="Arial" w:hAnsi="Arial" w:cs="Arial"/>
          <w:sz w:val="24"/>
          <w:szCs w:val="24"/>
          <w:lang w:val="fr-CA"/>
        </w:rPr>
        <w:t> </w:t>
      </w:r>
      <w:r w:rsidRPr="00880932">
        <w:rPr>
          <w:rFonts w:ascii="Arial" w:hAnsi="Arial" w:cs="Arial"/>
          <w:b/>
          <w:bCs/>
          <w:sz w:val="24"/>
          <w:szCs w:val="24"/>
          <w:lang w:val="fr-CA"/>
        </w:rPr>
        <w:t>(PCG)</w:t>
      </w:r>
      <w:r w:rsidR="00AF34A4">
        <w:rPr>
          <w:rFonts w:ascii="Arial" w:hAnsi="Arial" w:cs="Arial"/>
          <w:b/>
          <w:bCs/>
          <w:sz w:val="24"/>
          <w:szCs w:val="24"/>
          <w:lang w:val="fr-CA"/>
        </w:rPr>
        <w:t> </w:t>
      </w:r>
      <w:r w:rsidRPr="00880932">
        <w:rPr>
          <w:rFonts w:ascii="Arial" w:hAnsi="Arial" w:cs="Arial"/>
          <w:sz w:val="24"/>
          <w:szCs w:val="24"/>
          <w:lang w:val="fr-CA"/>
        </w:rPr>
        <w:t>» : plateforme principale pour la communication entre les partenaires de la chaîne commerciale et l’ASFC concernant l’importation de marchandises au Canada.</w:t>
      </w:r>
    </w:p>
    <w:p w14:paraId="3C83F493" w14:textId="164E1097" w:rsidR="00A11EB9" w:rsidRPr="00880932" w:rsidRDefault="00A11EB9"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Rè</w:t>
      </w:r>
      <w:r w:rsidRPr="004622B0">
        <w:rPr>
          <w:rFonts w:ascii="Arial" w:hAnsi="Arial" w:cs="Arial"/>
          <w:b/>
          <w:bCs/>
          <w:sz w:val="24"/>
          <w:szCs w:val="24"/>
          <w:lang w:val="fr-CA"/>
        </w:rPr>
        <w:t>gle</w:t>
      </w:r>
      <w:r w:rsidRPr="00880932">
        <w:rPr>
          <w:rFonts w:ascii="Arial" w:hAnsi="Arial" w:cs="Arial"/>
          <w:b/>
          <w:bCs/>
          <w:sz w:val="24"/>
          <w:szCs w:val="24"/>
          <w:lang w:val="fr-CA"/>
        </w:rPr>
        <w:t>ment</w:t>
      </w:r>
      <w:r w:rsidRPr="00880932">
        <w:rPr>
          <w:rFonts w:ascii="Arial" w:hAnsi="Arial" w:cs="Arial"/>
          <w:sz w:val="24"/>
          <w:szCs w:val="24"/>
          <w:lang w:val="fr-CA"/>
        </w:rPr>
        <w:t xml:space="preserve"> » : aux fins du présent mémorandum, </w:t>
      </w:r>
      <w:hyperlink r:id="rId11" w:history="1">
        <w:r w:rsidRPr="00880932">
          <w:rPr>
            <w:rStyle w:val="Hyperlink"/>
            <w:rFonts w:ascii="Arial" w:hAnsi="Arial" w:cs="Arial"/>
            <w:i/>
            <w:iCs/>
            <w:sz w:val="24"/>
            <w:szCs w:val="24"/>
            <w:lang w:val="fr-CA"/>
          </w:rPr>
          <w:t>Règlement sur les entrepôts d’attente des douanes</w:t>
        </w:r>
      </w:hyperlink>
      <w:r w:rsidRPr="00880932">
        <w:rPr>
          <w:rFonts w:ascii="Arial" w:hAnsi="Arial" w:cs="Arial"/>
          <w:sz w:val="24"/>
          <w:szCs w:val="24"/>
          <w:lang w:val="fr-CA"/>
        </w:rPr>
        <w:t>, à moins d’indication contraire.</w:t>
      </w:r>
    </w:p>
    <w:p w14:paraId="0A6A0C50" w14:textId="6C08BC84" w:rsidR="008615BE" w:rsidRPr="00880932" w:rsidRDefault="00A11EB9"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Re</w:t>
      </w:r>
      <w:r w:rsidRPr="004622B0">
        <w:rPr>
          <w:rFonts w:ascii="Arial" w:hAnsi="Arial" w:cs="Arial"/>
          <w:b/>
          <w:bCs/>
          <w:sz w:val="24"/>
          <w:szCs w:val="24"/>
          <w:lang w:val="fr-CA"/>
        </w:rPr>
        <w:t>grou</w:t>
      </w:r>
      <w:r w:rsidRPr="00880932">
        <w:rPr>
          <w:rFonts w:ascii="Arial" w:hAnsi="Arial" w:cs="Arial"/>
          <w:b/>
          <w:bCs/>
          <w:sz w:val="24"/>
          <w:szCs w:val="24"/>
          <w:lang w:val="fr-CA"/>
        </w:rPr>
        <w:t>pement</w:t>
      </w:r>
      <w:r w:rsidRPr="00880932">
        <w:rPr>
          <w:rFonts w:ascii="Arial" w:hAnsi="Arial" w:cs="Arial"/>
          <w:sz w:val="24"/>
          <w:szCs w:val="24"/>
          <w:lang w:val="fr-CA"/>
        </w:rPr>
        <w:t> » : processus par lequel plusieurs expéditions distinctes sont réunies par un groupeur ou un agent d’expédition, puis expédiées à un mandataire ou à un agent d’expédition à titre d’expédition unique, visée par un connaissement unique et déclarée à l’ASFC au moyen d’un seul document de contrôle du fret (DCF).</w:t>
      </w:r>
    </w:p>
    <w:p w14:paraId="09365D5C" w14:textId="77777777" w:rsidR="008615BE" w:rsidRPr="00880932" w:rsidRDefault="008615BE" w:rsidP="00880932">
      <w:pPr>
        <w:spacing w:line="345" w:lineRule="exact"/>
        <w:rPr>
          <w:rFonts w:ascii="Arial" w:hAnsi="Arial" w:cs="Arial"/>
          <w:sz w:val="24"/>
          <w:szCs w:val="24"/>
          <w:lang w:val="fr-CA"/>
        </w:rPr>
      </w:pPr>
      <w:r w:rsidRPr="00880932">
        <w:rPr>
          <w:rFonts w:ascii="Arial" w:hAnsi="Arial" w:cs="Arial"/>
          <w:sz w:val="24"/>
          <w:szCs w:val="24"/>
          <w:lang w:val="fr-CA"/>
        </w:rPr>
        <w:t>« </w:t>
      </w:r>
      <w:r w:rsidRPr="00880932">
        <w:rPr>
          <w:rFonts w:ascii="Arial" w:hAnsi="Arial" w:cs="Arial"/>
          <w:b/>
          <w:bCs/>
          <w:sz w:val="24"/>
          <w:szCs w:val="24"/>
          <w:lang w:val="fr-CA"/>
        </w:rPr>
        <w:t>Tra</w:t>
      </w:r>
      <w:r w:rsidRPr="004622B0">
        <w:rPr>
          <w:rFonts w:ascii="Arial" w:hAnsi="Arial" w:cs="Arial"/>
          <w:b/>
          <w:bCs/>
          <w:sz w:val="24"/>
          <w:szCs w:val="24"/>
          <w:lang w:val="fr-CA"/>
        </w:rPr>
        <w:t>nspo</w:t>
      </w:r>
      <w:r w:rsidRPr="00880932">
        <w:rPr>
          <w:rFonts w:ascii="Arial" w:hAnsi="Arial" w:cs="Arial"/>
          <w:b/>
          <w:bCs/>
          <w:sz w:val="24"/>
          <w:szCs w:val="24"/>
          <w:lang w:val="fr-CA"/>
        </w:rPr>
        <w:t>rteur</w:t>
      </w:r>
      <w:r w:rsidRPr="00880932">
        <w:rPr>
          <w:rFonts w:ascii="Arial" w:hAnsi="Arial" w:cs="Arial"/>
          <w:sz w:val="24"/>
          <w:szCs w:val="24"/>
          <w:lang w:val="fr-CA"/>
        </w:rPr>
        <w:t> » : personne œuvrant dans le transport commercial international qui déclare le fret à l’ASFC et/ou exploite un moyen de transport qui transporte des marchandises spécifiées à destination ou en provenance du Canada.</w:t>
      </w:r>
    </w:p>
    <w:p w14:paraId="0A713AA6" w14:textId="5BCD03FA" w:rsidR="008615BE" w:rsidRPr="008615BE" w:rsidRDefault="008615BE" w:rsidP="008615BE">
      <w:pPr>
        <w:pStyle w:val="Heading2"/>
      </w:pPr>
      <w:bookmarkStart w:id="5" w:name="_Replacing_your_Pleasure"/>
      <w:bookmarkStart w:id="6" w:name="_Lignes_directrices"/>
      <w:bookmarkEnd w:id="5"/>
      <w:bookmarkEnd w:id="6"/>
      <w:r w:rsidRPr="008615BE">
        <w:lastRenderedPageBreak/>
        <w:t>Lignes directrices</w:t>
      </w:r>
    </w:p>
    <w:p w14:paraId="34E3AA21" w14:textId="6F4D953F" w:rsidR="008615BE" w:rsidRPr="008615BE" w:rsidRDefault="008615BE" w:rsidP="008615BE">
      <w:pPr>
        <w:pStyle w:val="ListParagraph"/>
        <w:numPr>
          <w:ilvl w:val="0"/>
          <w:numId w:val="3"/>
        </w:numPr>
        <w:contextualSpacing w:val="0"/>
        <w:rPr>
          <w:rFonts w:cs="Arial"/>
        </w:rPr>
      </w:pPr>
      <w:r w:rsidRPr="008615BE">
        <w:rPr>
          <w:rFonts w:cs="Arial"/>
        </w:rPr>
        <w:t>Le présent mémorandum explique les procédures que doit suivre un</w:t>
      </w:r>
      <w:r w:rsidR="00835C0E">
        <w:rPr>
          <w:rFonts w:cs="Arial"/>
        </w:rPr>
        <w:t xml:space="preserve"> particulier</w:t>
      </w:r>
      <w:r w:rsidRPr="008615BE">
        <w:rPr>
          <w:rFonts w:cs="Arial"/>
        </w:rPr>
        <w:t xml:space="preserve"> ou une entreprise pour obtenir, modifier ou annuler un agrément d’entrepôt d’attente</w:t>
      </w:r>
      <w:r w:rsidR="000B2F9D">
        <w:rPr>
          <w:rFonts w:cs="Arial"/>
        </w:rPr>
        <w:t xml:space="preserve"> des douanes</w:t>
      </w:r>
      <w:r w:rsidRPr="008615BE">
        <w:rPr>
          <w:rFonts w:cs="Arial"/>
        </w:rPr>
        <w:t xml:space="preserve"> de l’Agence des services frontaliers du Canada (ASFC). Il décrit aussi les conditions d’exploitation de l’entrepôt d’attente et les catégories d’entrepôts d’attente pour lesquels un agrément peut être octroyé au Canada.</w:t>
      </w:r>
    </w:p>
    <w:p w14:paraId="1D0273D4" w14:textId="527C2875" w:rsidR="008615BE" w:rsidRPr="008615BE" w:rsidRDefault="008615BE" w:rsidP="008615BE">
      <w:pPr>
        <w:pStyle w:val="ListParagraph"/>
        <w:numPr>
          <w:ilvl w:val="0"/>
          <w:numId w:val="3"/>
        </w:numPr>
        <w:contextualSpacing w:val="0"/>
        <w:rPr>
          <w:rFonts w:cs="Arial"/>
        </w:rPr>
      </w:pPr>
      <w:r w:rsidRPr="008615BE">
        <w:rPr>
          <w:rFonts w:cs="Arial"/>
        </w:rPr>
        <w:t xml:space="preserve">Les entrepôts d’attente agréés par l’Agence des services frontaliers du Canada (ASFC) appartiennent au secteur privé qui les exploite pour le contrôle, l’entreposage à court terme, le transfert, la livraison et l’examen des marchandises </w:t>
      </w:r>
      <w:r w:rsidR="007331EF">
        <w:rPr>
          <w:rFonts w:cs="Arial"/>
        </w:rPr>
        <w:t>importées sous douanes</w:t>
      </w:r>
      <w:r w:rsidRPr="008615BE">
        <w:rPr>
          <w:rFonts w:cs="Arial"/>
        </w:rPr>
        <w:t xml:space="preserve"> jusqu’à ce que l’ASFC leur accorde la mainlevée ou qu’elles soient exportées du Canada.</w:t>
      </w:r>
    </w:p>
    <w:p w14:paraId="02225C91" w14:textId="19B7F2D5" w:rsidR="008615BE" w:rsidRPr="008615BE" w:rsidRDefault="008615BE" w:rsidP="008615BE">
      <w:pPr>
        <w:pStyle w:val="ListParagraph"/>
        <w:numPr>
          <w:ilvl w:val="0"/>
          <w:numId w:val="3"/>
        </w:numPr>
        <w:contextualSpacing w:val="0"/>
        <w:rPr>
          <w:rFonts w:cs="Arial"/>
        </w:rPr>
      </w:pPr>
      <w:r w:rsidRPr="008615BE">
        <w:rPr>
          <w:rFonts w:cs="Arial"/>
        </w:rPr>
        <w:t xml:space="preserve">L’ASFC tâche de traiter les demandes d’agrément d’entrepôt d’attente des douanes dans les 60 jours ouvrables suivant la date de réception d’une demande </w:t>
      </w:r>
      <w:r w:rsidR="006D2380">
        <w:rPr>
          <w:rFonts w:cs="Arial"/>
        </w:rPr>
        <w:t xml:space="preserve">dûment </w:t>
      </w:r>
      <w:r w:rsidR="00B60F11">
        <w:rPr>
          <w:rFonts w:cs="Arial"/>
        </w:rPr>
        <w:t>remplie</w:t>
      </w:r>
      <w:r w:rsidRPr="008615BE">
        <w:rPr>
          <w:rFonts w:cs="Arial"/>
        </w:rPr>
        <w:t xml:space="preserve"> dans le </w:t>
      </w:r>
      <w:r w:rsidR="00E04CD5">
        <w:rPr>
          <w:rFonts w:cs="Arial"/>
        </w:rPr>
        <w:t>p</w:t>
      </w:r>
      <w:r w:rsidRPr="008615BE">
        <w:rPr>
          <w:rFonts w:cs="Arial"/>
        </w:rPr>
        <w:t>ortail client de la GCRA</w:t>
      </w:r>
      <w:r w:rsidR="00907ABA">
        <w:rPr>
          <w:rFonts w:cs="Arial"/>
        </w:rPr>
        <w:t xml:space="preserve"> (PCG)</w:t>
      </w:r>
      <w:r w:rsidRPr="008615BE">
        <w:rPr>
          <w:rFonts w:cs="Arial"/>
        </w:rPr>
        <w:t xml:space="preserve">. </w:t>
      </w:r>
    </w:p>
    <w:p w14:paraId="7B45E443" w14:textId="0028F0A4" w:rsidR="008615BE" w:rsidRPr="008615BE" w:rsidRDefault="008615BE" w:rsidP="008615BE">
      <w:pPr>
        <w:pStyle w:val="ListParagraph"/>
        <w:numPr>
          <w:ilvl w:val="0"/>
          <w:numId w:val="3"/>
        </w:numPr>
        <w:contextualSpacing w:val="0"/>
        <w:rPr>
          <w:rFonts w:cs="Arial"/>
        </w:rPr>
      </w:pPr>
      <w:r w:rsidRPr="008615BE">
        <w:rPr>
          <w:rFonts w:cs="Arial"/>
        </w:rPr>
        <w:t xml:space="preserve">On s’attend à ce que les demandeurs surveillent le </w:t>
      </w:r>
      <w:r w:rsidR="00907ABA">
        <w:rPr>
          <w:rFonts w:cs="Arial"/>
        </w:rPr>
        <w:t>PCG</w:t>
      </w:r>
      <w:r w:rsidR="00907ABA" w:rsidRPr="008615BE" w:rsidDel="00907ABA">
        <w:rPr>
          <w:rFonts w:cs="Arial"/>
        </w:rPr>
        <w:t xml:space="preserve"> </w:t>
      </w:r>
      <w:r w:rsidRPr="008615BE">
        <w:rPr>
          <w:rFonts w:cs="Arial"/>
        </w:rPr>
        <w:t>pour obtenir des avis sur l’état de leur demande afin de s’assurer qu’il n’y a pas de retards dans le traitement.</w:t>
      </w:r>
      <w:bookmarkStart w:id="7" w:name="_bookmark3"/>
      <w:bookmarkStart w:id="8" w:name="LicensingofSufferanceWarehouses"/>
      <w:bookmarkEnd w:id="7"/>
      <w:bookmarkEnd w:id="8"/>
    </w:p>
    <w:p w14:paraId="4352EA62" w14:textId="0EA337E3" w:rsidR="008615BE" w:rsidRPr="008615BE" w:rsidRDefault="008615BE" w:rsidP="008615BE">
      <w:pPr>
        <w:pStyle w:val="Heading3"/>
      </w:pPr>
      <w:bookmarkStart w:id="9" w:name="_Octroiement_d’agrément_aux"/>
      <w:bookmarkEnd w:id="9"/>
      <w:r w:rsidRPr="008615BE">
        <w:t xml:space="preserve">Octroi d’agrément </w:t>
      </w:r>
      <w:r w:rsidR="00F22432">
        <w:t>d’</w:t>
      </w:r>
      <w:r w:rsidRPr="008615BE">
        <w:t>entrepôt d’attente</w:t>
      </w:r>
      <w:bookmarkStart w:id="10" w:name="_bookmark4"/>
      <w:bookmarkStart w:id="11" w:name="ApplicationforaLicence"/>
      <w:bookmarkEnd w:id="10"/>
      <w:bookmarkEnd w:id="11"/>
    </w:p>
    <w:p w14:paraId="1316A3A0" w14:textId="71931388" w:rsidR="00B93F1D" w:rsidRDefault="008615BE" w:rsidP="00B93F1D">
      <w:pPr>
        <w:pStyle w:val="ListParagraph"/>
        <w:numPr>
          <w:ilvl w:val="0"/>
          <w:numId w:val="3"/>
        </w:numPr>
        <w:tabs>
          <w:tab w:val="num" w:pos="0"/>
        </w:tabs>
        <w:contextualSpacing w:val="0"/>
        <w:rPr>
          <w:rFonts w:cs="Arial"/>
          <w:szCs w:val="24"/>
        </w:rPr>
      </w:pPr>
      <w:r w:rsidRPr="00FB3E46">
        <w:rPr>
          <w:rFonts w:cs="Arial"/>
          <w:szCs w:val="24"/>
        </w:rPr>
        <w:t xml:space="preserve">Une demande dûment remplie accompagnée de pièces justificatives doit être soumise dans le </w:t>
      </w:r>
      <w:r w:rsidR="00907ABA">
        <w:rPr>
          <w:rFonts w:cs="Arial"/>
        </w:rPr>
        <w:t>PCG</w:t>
      </w:r>
      <w:r w:rsidR="00907ABA" w:rsidRPr="00FB3E46" w:rsidDel="00907ABA">
        <w:rPr>
          <w:rFonts w:cs="Arial"/>
          <w:szCs w:val="24"/>
        </w:rPr>
        <w:t xml:space="preserve"> </w:t>
      </w:r>
      <w:r w:rsidRPr="00FB3E46">
        <w:rPr>
          <w:rFonts w:cs="Arial"/>
          <w:szCs w:val="24"/>
        </w:rPr>
        <w:t xml:space="preserve">afin d’obtenir </w:t>
      </w:r>
      <w:r w:rsidR="00B60F11">
        <w:rPr>
          <w:rFonts w:cs="Arial"/>
          <w:szCs w:val="24"/>
        </w:rPr>
        <w:t>l’</w:t>
      </w:r>
      <w:r w:rsidRPr="00FB3E46">
        <w:rPr>
          <w:rFonts w:cs="Arial"/>
          <w:szCs w:val="24"/>
        </w:rPr>
        <w:t xml:space="preserve">agrément </w:t>
      </w:r>
      <w:r w:rsidR="00F22432">
        <w:rPr>
          <w:rFonts w:cs="Arial"/>
          <w:szCs w:val="24"/>
        </w:rPr>
        <w:t>d’</w:t>
      </w:r>
      <w:r w:rsidRPr="00FB3E46">
        <w:rPr>
          <w:rFonts w:cs="Arial"/>
          <w:szCs w:val="24"/>
        </w:rPr>
        <w:t xml:space="preserve">exploitation d’un entrepôt d’attente des douanes. Des instructions sur la manière d’ouvrir un compte </w:t>
      </w:r>
      <w:r w:rsidR="00A81C30">
        <w:rPr>
          <w:rFonts w:cs="Arial"/>
          <w:szCs w:val="24"/>
        </w:rPr>
        <w:t xml:space="preserve">d’utilisateur </w:t>
      </w:r>
      <w:r w:rsidRPr="00FB3E46">
        <w:rPr>
          <w:rFonts w:cs="Arial"/>
          <w:szCs w:val="24"/>
        </w:rPr>
        <w:t xml:space="preserve">et de soumettre une demande dans le </w:t>
      </w:r>
      <w:r w:rsidR="00907ABA">
        <w:rPr>
          <w:rFonts w:cs="Arial"/>
        </w:rPr>
        <w:t>PCG</w:t>
      </w:r>
      <w:r w:rsidR="00907ABA" w:rsidRPr="00FB3E46" w:rsidDel="00907ABA">
        <w:rPr>
          <w:rFonts w:cs="Arial"/>
          <w:szCs w:val="24"/>
        </w:rPr>
        <w:t xml:space="preserve"> </w:t>
      </w:r>
      <w:r w:rsidRPr="00FB3E46">
        <w:rPr>
          <w:rFonts w:cs="Arial"/>
          <w:szCs w:val="24"/>
        </w:rPr>
        <w:t xml:space="preserve">sont disponibles sur la </w:t>
      </w:r>
      <w:hyperlink r:id="rId12" w:history="1">
        <w:r w:rsidRPr="00FB3E46">
          <w:rPr>
            <w:rStyle w:val="Hyperlink"/>
            <w:rFonts w:cs="Arial"/>
            <w:szCs w:val="24"/>
          </w:rPr>
          <w:t>page Web de la GCRA de l’ASFC</w:t>
        </w:r>
      </w:hyperlink>
      <w:r w:rsidRPr="00FB3E46">
        <w:rPr>
          <w:rFonts w:cs="Arial"/>
          <w:szCs w:val="24"/>
        </w:rPr>
        <w:t>.</w:t>
      </w:r>
    </w:p>
    <w:p w14:paraId="180AA71E" w14:textId="32612C49"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 xml:space="preserve">Les demandeurs doivent surveiller les avis transmis dans le </w:t>
      </w:r>
      <w:r w:rsidR="00907ABA">
        <w:rPr>
          <w:rFonts w:cs="Arial"/>
        </w:rPr>
        <w:t>PCG</w:t>
      </w:r>
      <w:r w:rsidR="00907ABA" w:rsidRPr="00B93F1D" w:rsidDel="00907ABA">
        <w:rPr>
          <w:rFonts w:cs="Arial"/>
          <w:szCs w:val="24"/>
        </w:rPr>
        <w:t xml:space="preserve"> </w:t>
      </w:r>
      <w:r w:rsidRPr="00B93F1D">
        <w:rPr>
          <w:rFonts w:cs="Arial"/>
          <w:szCs w:val="24"/>
        </w:rPr>
        <w:t xml:space="preserve">concernant leur demande pour éviter tout retard </w:t>
      </w:r>
      <w:r w:rsidR="005E384D">
        <w:rPr>
          <w:rFonts w:cs="Arial"/>
          <w:szCs w:val="24"/>
        </w:rPr>
        <w:t>de</w:t>
      </w:r>
      <w:r w:rsidRPr="00B93F1D">
        <w:rPr>
          <w:rFonts w:cs="Arial"/>
          <w:szCs w:val="24"/>
        </w:rPr>
        <w:t xml:space="preserve"> traitement.</w:t>
      </w:r>
    </w:p>
    <w:p w14:paraId="4DB4DD8E" w14:textId="77777777"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Une personne se qualifie comme demandeur si elle :</w:t>
      </w:r>
    </w:p>
    <w:p w14:paraId="2006840B" w14:textId="77777777" w:rsidR="00AE4B45" w:rsidRDefault="008615BE" w:rsidP="00880932">
      <w:pPr>
        <w:pStyle w:val="ListParagraph"/>
        <w:numPr>
          <w:ilvl w:val="1"/>
          <w:numId w:val="7"/>
        </w:numPr>
        <w:ind w:left="1434" w:hanging="357"/>
        <w:contextualSpacing w:val="0"/>
        <w:rPr>
          <w:rFonts w:cs="Arial"/>
          <w:szCs w:val="24"/>
        </w:rPr>
      </w:pPr>
      <w:r w:rsidRPr="00B93F1D">
        <w:rPr>
          <w:rFonts w:cs="Arial"/>
          <w:szCs w:val="24"/>
        </w:rPr>
        <w:t xml:space="preserve">jouit d’une bonne réputation; </w:t>
      </w:r>
    </w:p>
    <w:p w14:paraId="2D98A3E4" w14:textId="67576D3C" w:rsidR="00B93F1D" w:rsidRPr="00AE4B45" w:rsidRDefault="008615BE" w:rsidP="00AE4B45">
      <w:pPr>
        <w:pStyle w:val="ListParagraph"/>
        <w:numPr>
          <w:ilvl w:val="1"/>
          <w:numId w:val="7"/>
        </w:numPr>
        <w:contextualSpacing w:val="0"/>
        <w:rPr>
          <w:rFonts w:cs="Arial"/>
          <w:szCs w:val="24"/>
        </w:rPr>
      </w:pPr>
      <w:r w:rsidRPr="00AE4B45">
        <w:rPr>
          <w:rFonts w:cs="Arial"/>
          <w:szCs w:val="24"/>
        </w:rPr>
        <w:t>dispose de ressources financières suffisantes pour mener ses activités de manière responsable.</w:t>
      </w:r>
    </w:p>
    <w:p w14:paraId="56676282" w14:textId="54ECCB4E"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Un partenariat se qualifie comme demandeur</w:t>
      </w:r>
      <w:r w:rsidR="005E384D">
        <w:rPr>
          <w:rFonts w:cs="Arial"/>
          <w:szCs w:val="24"/>
        </w:rPr>
        <w:t> </w:t>
      </w:r>
      <w:r w:rsidR="00B93F1D" w:rsidRPr="00B93F1D">
        <w:rPr>
          <w:rFonts w:cs="Arial"/>
          <w:szCs w:val="24"/>
        </w:rPr>
        <w:t>:</w:t>
      </w:r>
    </w:p>
    <w:p w14:paraId="7BFE7D1F" w14:textId="0AF983E5" w:rsidR="00B93F1D" w:rsidRDefault="008615BE" w:rsidP="00B93F1D">
      <w:pPr>
        <w:pStyle w:val="ListParagraph"/>
        <w:numPr>
          <w:ilvl w:val="1"/>
          <w:numId w:val="3"/>
        </w:numPr>
        <w:ind w:left="1043" w:firstLine="0"/>
        <w:contextualSpacing w:val="0"/>
        <w:rPr>
          <w:rFonts w:cs="Arial"/>
          <w:szCs w:val="24"/>
        </w:rPr>
      </w:pPr>
      <w:r w:rsidRPr="00B93F1D">
        <w:rPr>
          <w:rFonts w:cs="Arial"/>
          <w:szCs w:val="24"/>
        </w:rPr>
        <w:lastRenderedPageBreak/>
        <w:t>lorsque</w:t>
      </w:r>
      <w:r w:rsidR="005E384D">
        <w:rPr>
          <w:rFonts w:cs="Arial"/>
          <w:szCs w:val="24"/>
        </w:rPr>
        <w:t xml:space="preserve"> </w:t>
      </w:r>
      <w:r w:rsidRPr="00B93F1D">
        <w:rPr>
          <w:rFonts w:cs="Arial"/>
          <w:szCs w:val="24"/>
        </w:rPr>
        <w:t xml:space="preserve">dans le cas d’un partenariat composé de </w:t>
      </w:r>
      <w:r w:rsidR="005E384D">
        <w:rPr>
          <w:rFonts w:cs="Arial"/>
          <w:szCs w:val="24"/>
        </w:rPr>
        <w:t>particuliers</w:t>
      </w:r>
      <w:r w:rsidRPr="00B93F1D">
        <w:rPr>
          <w:rFonts w:cs="Arial"/>
          <w:szCs w:val="24"/>
        </w:rPr>
        <w:t>,</w:t>
      </w:r>
    </w:p>
    <w:p w14:paraId="041BF54F" w14:textId="0868CA2A" w:rsidR="00B93F1D" w:rsidRDefault="008615BE" w:rsidP="00AE4B45">
      <w:pPr>
        <w:pStyle w:val="ListParagraph"/>
        <w:numPr>
          <w:ilvl w:val="2"/>
          <w:numId w:val="8"/>
        </w:numPr>
        <w:contextualSpacing w:val="0"/>
        <w:rPr>
          <w:rFonts w:cs="Arial"/>
          <w:szCs w:val="24"/>
        </w:rPr>
      </w:pPr>
      <w:r w:rsidRPr="00B93F1D">
        <w:rPr>
          <w:rFonts w:cs="Arial"/>
          <w:szCs w:val="24"/>
        </w:rPr>
        <w:t>les partenaires jouissent d’une bonne réputation;</w:t>
      </w:r>
      <w:r w:rsidR="00A22411">
        <w:rPr>
          <w:rFonts w:cs="Arial"/>
          <w:szCs w:val="24"/>
        </w:rPr>
        <w:t>,</w:t>
      </w:r>
    </w:p>
    <w:p w14:paraId="43E2087B" w14:textId="77777777" w:rsidR="00B93F1D" w:rsidRDefault="008615BE" w:rsidP="00AE4B45">
      <w:pPr>
        <w:pStyle w:val="ListParagraph"/>
        <w:numPr>
          <w:ilvl w:val="2"/>
          <w:numId w:val="8"/>
        </w:numPr>
        <w:contextualSpacing w:val="0"/>
        <w:rPr>
          <w:rFonts w:cs="Arial"/>
          <w:szCs w:val="24"/>
        </w:rPr>
      </w:pPr>
      <w:r w:rsidRPr="00B93F1D">
        <w:rPr>
          <w:rFonts w:cs="Arial"/>
          <w:szCs w:val="24"/>
        </w:rPr>
        <w:t>disposent de ressources financières suffisantes pour mener leurs activités de manière responsable.</w:t>
      </w:r>
    </w:p>
    <w:p w14:paraId="49F3492B" w14:textId="37206801" w:rsidR="00B93F1D" w:rsidRDefault="008615BE" w:rsidP="00B93F1D">
      <w:pPr>
        <w:pStyle w:val="ListParagraph"/>
        <w:numPr>
          <w:ilvl w:val="1"/>
          <w:numId w:val="3"/>
        </w:numPr>
        <w:ind w:left="1043" w:firstLine="0"/>
        <w:contextualSpacing w:val="0"/>
        <w:rPr>
          <w:rFonts w:cs="Arial"/>
          <w:szCs w:val="24"/>
        </w:rPr>
      </w:pPr>
      <w:r w:rsidRPr="00B93F1D">
        <w:rPr>
          <w:rFonts w:cs="Arial"/>
          <w:szCs w:val="24"/>
        </w:rPr>
        <w:t>lorsque dans le cas d’un partenariat composé de sociétés,</w:t>
      </w:r>
    </w:p>
    <w:p w14:paraId="5BE1EAB8" w14:textId="7142B16C" w:rsidR="00B93F1D" w:rsidRDefault="008615BE" w:rsidP="00AE4B45">
      <w:pPr>
        <w:pStyle w:val="ListParagraph"/>
        <w:numPr>
          <w:ilvl w:val="2"/>
          <w:numId w:val="9"/>
        </w:numPr>
        <w:contextualSpacing w:val="0"/>
        <w:rPr>
          <w:rFonts w:cs="Arial"/>
          <w:szCs w:val="24"/>
        </w:rPr>
      </w:pPr>
      <w:r w:rsidRPr="00B93F1D">
        <w:rPr>
          <w:rFonts w:cs="Arial"/>
          <w:szCs w:val="24"/>
        </w:rPr>
        <w:t>tous les directeurs de la société jouissent d’une bonne réputation;</w:t>
      </w:r>
    </w:p>
    <w:p w14:paraId="3CE4E022" w14:textId="77777777" w:rsidR="00B93F1D" w:rsidRDefault="008615BE" w:rsidP="00AE4B45">
      <w:pPr>
        <w:pStyle w:val="ListParagraph"/>
        <w:numPr>
          <w:ilvl w:val="2"/>
          <w:numId w:val="9"/>
        </w:numPr>
        <w:contextualSpacing w:val="0"/>
        <w:rPr>
          <w:rFonts w:cs="Arial"/>
          <w:szCs w:val="24"/>
        </w:rPr>
      </w:pPr>
      <w:r w:rsidRPr="00B93F1D">
        <w:rPr>
          <w:rFonts w:cs="Arial"/>
          <w:szCs w:val="24"/>
        </w:rPr>
        <w:t>disposent de ressources financières suffisantes pour mener leurs activités de manière responsable.</w:t>
      </w:r>
    </w:p>
    <w:p w14:paraId="6093B2CC" w14:textId="77777777"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Une société se qualifie comme demandeur si :</w:t>
      </w:r>
    </w:p>
    <w:p w14:paraId="49750434" w14:textId="77777777" w:rsidR="00B93F1D" w:rsidRDefault="008615BE" w:rsidP="00AE4B45">
      <w:pPr>
        <w:pStyle w:val="ListParagraph"/>
        <w:numPr>
          <w:ilvl w:val="1"/>
          <w:numId w:val="11"/>
        </w:numPr>
        <w:contextualSpacing w:val="0"/>
        <w:rPr>
          <w:rFonts w:cs="Arial"/>
          <w:szCs w:val="24"/>
        </w:rPr>
      </w:pPr>
      <w:r w:rsidRPr="00B93F1D">
        <w:rPr>
          <w:rFonts w:cs="Arial"/>
          <w:szCs w:val="24"/>
        </w:rPr>
        <w:t xml:space="preserve">la société jouit d’une bonne réputation; </w:t>
      </w:r>
    </w:p>
    <w:p w14:paraId="3E83610B" w14:textId="412646B7" w:rsidR="00B93F1D" w:rsidRDefault="008615BE" w:rsidP="00AE4B45">
      <w:pPr>
        <w:pStyle w:val="ListParagraph"/>
        <w:numPr>
          <w:ilvl w:val="1"/>
          <w:numId w:val="11"/>
        </w:numPr>
        <w:contextualSpacing w:val="0"/>
        <w:rPr>
          <w:rFonts w:cs="Arial"/>
          <w:szCs w:val="24"/>
        </w:rPr>
      </w:pPr>
      <w:r w:rsidRPr="00B93F1D">
        <w:rPr>
          <w:rFonts w:cs="Arial"/>
          <w:szCs w:val="24"/>
        </w:rPr>
        <w:t>tous les directeurs jouissent d’une bonne réputation;</w:t>
      </w:r>
    </w:p>
    <w:p w14:paraId="59E33459" w14:textId="77777777" w:rsidR="00B93F1D" w:rsidRDefault="008615BE" w:rsidP="00AE4B45">
      <w:pPr>
        <w:pStyle w:val="ListParagraph"/>
        <w:numPr>
          <w:ilvl w:val="1"/>
          <w:numId w:val="11"/>
        </w:numPr>
        <w:contextualSpacing w:val="0"/>
        <w:rPr>
          <w:rFonts w:cs="Arial"/>
          <w:szCs w:val="24"/>
        </w:rPr>
      </w:pPr>
      <w:r w:rsidRPr="00B93F1D">
        <w:rPr>
          <w:rFonts w:cs="Arial"/>
          <w:szCs w:val="24"/>
        </w:rPr>
        <w:t>la société dispose de ressources financières suffisantes pour mener ses activités de manière responsable.</w:t>
      </w:r>
    </w:p>
    <w:p w14:paraId="523393A4" w14:textId="13ADC02D"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Seule la personne qui exploitera l’entrepôt peut présenter une demande pour le compte d’un seul propriétaire. Cependant, un des partenaires ou associés peut présenter une demande pour le compte d’un partenariat ou d’une association non constituée</w:t>
      </w:r>
      <w:r w:rsidR="00F1668A">
        <w:rPr>
          <w:rFonts w:cs="Arial"/>
          <w:szCs w:val="24"/>
        </w:rPr>
        <w:t>,</w:t>
      </w:r>
      <w:r w:rsidRPr="00B93F1D">
        <w:rPr>
          <w:rFonts w:cs="Arial"/>
          <w:szCs w:val="24"/>
        </w:rPr>
        <w:t xml:space="preserve"> et un des directeurs peut présenter une demande pour le compte d’une société. </w:t>
      </w:r>
    </w:p>
    <w:p w14:paraId="45265AE1" w14:textId="51313DDE"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L</w:t>
      </w:r>
      <w:r w:rsidR="0021182A">
        <w:rPr>
          <w:rFonts w:cs="Arial"/>
          <w:szCs w:val="24"/>
        </w:rPr>
        <w:t xml:space="preserve">e </w:t>
      </w:r>
      <w:hyperlink r:id="rId13" w:history="1">
        <w:r w:rsidR="0021182A" w:rsidRPr="001F1E2D">
          <w:rPr>
            <w:rStyle w:val="Hyperlink"/>
            <w:rFonts w:cs="Arial"/>
            <w:szCs w:val="24"/>
          </w:rPr>
          <w:t>formulaire d</w:t>
        </w:r>
        <w:r w:rsidR="00CA1E4B">
          <w:rPr>
            <w:rStyle w:val="Hyperlink"/>
            <w:rFonts w:cs="Arial"/>
            <w:szCs w:val="24"/>
          </w:rPr>
          <w:t>’inscription</w:t>
        </w:r>
        <w:r w:rsidRPr="001F1E2D">
          <w:rPr>
            <w:rStyle w:val="Hyperlink"/>
            <w:rFonts w:cs="Arial"/>
            <w:szCs w:val="24"/>
          </w:rPr>
          <w:t xml:space="preserve"> </w:t>
        </w:r>
        <w:r w:rsidR="0021182A" w:rsidRPr="001F1E2D">
          <w:rPr>
            <w:rStyle w:val="Hyperlink"/>
            <w:rFonts w:cs="Arial"/>
            <w:szCs w:val="24"/>
          </w:rPr>
          <w:t>BSF897</w:t>
        </w:r>
      </w:hyperlink>
      <w:r w:rsidR="0021182A">
        <w:rPr>
          <w:rFonts w:cs="Arial"/>
          <w:szCs w:val="24"/>
        </w:rPr>
        <w:t xml:space="preserve"> </w:t>
      </w:r>
      <w:r w:rsidRPr="00B93F1D">
        <w:rPr>
          <w:rFonts w:cs="Arial"/>
          <w:szCs w:val="24"/>
        </w:rPr>
        <w:t>dûment rempli doit être accompagné des documents suivants :</w:t>
      </w:r>
    </w:p>
    <w:p w14:paraId="489C10ED" w14:textId="77777777" w:rsidR="00B93F1D" w:rsidRDefault="008615BE" w:rsidP="00AE4B45">
      <w:pPr>
        <w:pStyle w:val="ListParagraph"/>
        <w:numPr>
          <w:ilvl w:val="0"/>
          <w:numId w:val="12"/>
        </w:numPr>
        <w:contextualSpacing w:val="0"/>
        <w:rPr>
          <w:rFonts w:cs="Arial"/>
          <w:szCs w:val="24"/>
        </w:rPr>
      </w:pPr>
      <w:r w:rsidRPr="00B93F1D">
        <w:rPr>
          <w:rFonts w:cs="Arial"/>
          <w:szCs w:val="24"/>
        </w:rPr>
        <w:t>un plan ou une reproduction acceptable d’un plan du bâtiment complet indiquant :</w:t>
      </w:r>
    </w:p>
    <w:p w14:paraId="739F7B51" w14:textId="77777777" w:rsidR="00B93F1D" w:rsidRDefault="008615BE" w:rsidP="00AE4B45">
      <w:pPr>
        <w:pStyle w:val="ListParagraph"/>
        <w:numPr>
          <w:ilvl w:val="2"/>
          <w:numId w:val="10"/>
        </w:numPr>
        <w:contextualSpacing w:val="0"/>
        <w:rPr>
          <w:rFonts w:cs="Arial"/>
          <w:szCs w:val="24"/>
        </w:rPr>
      </w:pPr>
      <w:r w:rsidRPr="00B93F1D">
        <w:rPr>
          <w:rFonts w:cs="Arial"/>
          <w:szCs w:val="24"/>
        </w:rPr>
        <w:t>si le bâtiment existe déjà ou s’il doit être construit;</w:t>
      </w:r>
    </w:p>
    <w:p w14:paraId="1E71156D" w14:textId="77777777" w:rsidR="00B93F1D" w:rsidRDefault="008615BE" w:rsidP="00AE4B45">
      <w:pPr>
        <w:pStyle w:val="ListParagraph"/>
        <w:numPr>
          <w:ilvl w:val="2"/>
          <w:numId w:val="10"/>
        </w:numPr>
        <w:contextualSpacing w:val="0"/>
        <w:rPr>
          <w:rFonts w:cs="Arial"/>
          <w:szCs w:val="24"/>
        </w:rPr>
      </w:pPr>
      <w:r w:rsidRPr="00B93F1D">
        <w:rPr>
          <w:rFonts w:cs="Arial"/>
          <w:szCs w:val="24"/>
        </w:rPr>
        <w:t>le type de construction;</w:t>
      </w:r>
    </w:p>
    <w:p w14:paraId="3C588F19" w14:textId="77777777" w:rsidR="00B93F1D" w:rsidRDefault="008615BE" w:rsidP="00AE4B45">
      <w:pPr>
        <w:pStyle w:val="ListParagraph"/>
        <w:numPr>
          <w:ilvl w:val="2"/>
          <w:numId w:val="10"/>
        </w:numPr>
        <w:contextualSpacing w:val="0"/>
        <w:rPr>
          <w:rFonts w:cs="Arial"/>
          <w:szCs w:val="24"/>
        </w:rPr>
      </w:pPr>
      <w:r w:rsidRPr="00B93F1D">
        <w:rPr>
          <w:rFonts w:cs="Arial"/>
          <w:szCs w:val="24"/>
        </w:rPr>
        <w:t>l’emplacement du lieu qui sera réservé à l’entreposage des marchandises;</w:t>
      </w:r>
    </w:p>
    <w:p w14:paraId="701130C4" w14:textId="77777777" w:rsidR="00B93F1D" w:rsidRDefault="008615BE" w:rsidP="00AE4B45">
      <w:pPr>
        <w:pStyle w:val="ListParagraph"/>
        <w:numPr>
          <w:ilvl w:val="2"/>
          <w:numId w:val="10"/>
        </w:numPr>
        <w:contextualSpacing w:val="0"/>
        <w:rPr>
          <w:rFonts w:cs="Arial"/>
          <w:szCs w:val="24"/>
        </w:rPr>
      </w:pPr>
      <w:r w:rsidRPr="00B93F1D">
        <w:rPr>
          <w:rFonts w:cs="Arial"/>
          <w:szCs w:val="24"/>
        </w:rPr>
        <w:lastRenderedPageBreak/>
        <w:t>l’emplacement des cloisons, des portes, des fenêtres et des escaliers;</w:t>
      </w:r>
    </w:p>
    <w:p w14:paraId="37D8B8D3" w14:textId="77777777" w:rsidR="00B93F1D" w:rsidRDefault="008615BE" w:rsidP="00AE4B45">
      <w:pPr>
        <w:pStyle w:val="ListParagraph"/>
        <w:numPr>
          <w:ilvl w:val="2"/>
          <w:numId w:val="10"/>
        </w:numPr>
        <w:contextualSpacing w:val="0"/>
        <w:rPr>
          <w:rFonts w:cs="Arial"/>
          <w:szCs w:val="24"/>
        </w:rPr>
      </w:pPr>
      <w:r w:rsidRPr="00B93F1D">
        <w:rPr>
          <w:rFonts w:cs="Arial"/>
          <w:szCs w:val="24"/>
        </w:rPr>
        <w:t>l’emplacement et les dimensions de la salle d’examen ou du bureau devant être utilisé par l’ASFC, le cas échéant;</w:t>
      </w:r>
    </w:p>
    <w:p w14:paraId="7798E162" w14:textId="7193063B" w:rsidR="00AE4B45" w:rsidRDefault="008615BE" w:rsidP="00AE4B45">
      <w:pPr>
        <w:pStyle w:val="ListParagraph"/>
        <w:numPr>
          <w:ilvl w:val="2"/>
          <w:numId w:val="10"/>
        </w:numPr>
        <w:contextualSpacing w:val="0"/>
        <w:rPr>
          <w:rFonts w:cs="Arial"/>
          <w:szCs w:val="24"/>
        </w:rPr>
      </w:pPr>
      <w:r w:rsidRPr="00B93F1D">
        <w:rPr>
          <w:rFonts w:cs="Arial"/>
          <w:szCs w:val="24"/>
        </w:rPr>
        <w:t>l’emplacement des lignes téléphoniques, des appareils d’éclairage et de chauffage du bureau de l’ASFC et de la salle d’examen, le cas échéant;</w:t>
      </w:r>
    </w:p>
    <w:p w14:paraId="36545522" w14:textId="7945FAD2" w:rsidR="00B93F1D" w:rsidRPr="00AE4B45" w:rsidRDefault="008615BE" w:rsidP="00AE4B45">
      <w:pPr>
        <w:pStyle w:val="ListParagraph"/>
        <w:numPr>
          <w:ilvl w:val="2"/>
          <w:numId w:val="10"/>
        </w:numPr>
        <w:contextualSpacing w:val="0"/>
        <w:rPr>
          <w:rFonts w:cs="Arial"/>
          <w:szCs w:val="24"/>
        </w:rPr>
      </w:pPr>
      <w:r w:rsidRPr="00AE4B45">
        <w:rPr>
          <w:rFonts w:cs="Arial"/>
          <w:szCs w:val="24"/>
        </w:rPr>
        <w:t>l’emplacement des toilettes</w:t>
      </w:r>
      <w:r w:rsidR="00A22411">
        <w:rPr>
          <w:rFonts w:cs="Arial"/>
          <w:szCs w:val="24"/>
        </w:rPr>
        <w:t>.</w:t>
      </w:r>
    </w:p>
    <w:p w14:paraId="7F36FF66" w14:textId="77777777" w:rsidR="00B93F1D" w:rsidRDefault="008615BE" w:rsidP="00AE4B45">
      <w:pPr>
        <w:pStyle w:val="ListParagraph"/>
        <w:numPr>
          <w:ilvl w:val="0"/>
          <w:numId w:val="12"/>
        </w:numPr>
        <w:contextualSpacing w:val="0"/>
        <w:rPr>
          <w:rFonts w:cs="Arial"/>
          <w:szCs w:val="24"/>
        </w:rPr>
      </w:pPr>
      <w:r w:rsidRPr="00B93F1D">
        <w:rPr>
          <w:rFonts w:cs="Arial"/>
          <w:szCs w:val="24"/>
        </w:rPr>
        <w:t>des renseignements sur le matériel de protection contre les incendies, c’est-à-dire les extincteurs manuels et le système d’extinction automatique;</w:t>
      </w:r>
    </w:p>
    <w:p w14:paraId="76A50957" w14:textId="77777777" w:rsidR="00B93F1D" w:rsidRDefault="008615BE" w:rsidP="00AE4B45">
      <w:pPr>
        <w:pStyle w:val="ListParagraph"/>
        <w:numPr>
          <w:ilvl w:val="0"/>
          <w:numId w:val="12"/>
        </w:numPr>
        <w:contextualSpacing w:val="0"/>
        <w:rPr>
          <w:rFonts w:cs="Arial"/>
          <w:szCs w:val="24"/>
        </w:rPr>
      </w:pPr>
      <w:r w:rsidRPr="00B93F1D">
        <w:rPr>
          <w:rFonts w:cs="Arial"/>
          <w:szCs w:val="24"/>
        </w:rPr>
        <w:t>un plan de la propriété indiquant l’emplacement de l’entrepôt et de l’enceinte de retenue ou du parc de stationnement;</w:t>
      </w:r>
    </w:p>
    <w:p w14:paraId="5E4BAAC8" w14:textId="77777777" w:rsidR="00B93F1D" w:rsidRDefault="008615BE" w:rsidP="00AE4B45">
      <w:pPr>
        <w:pStyle w:val="ListParagraph"/>
        <w:numPr>
          <w:ilvl w:val="0"/>
          <w:numId w:val="12"/>
        </w:numPr>
        <w:contextualSpacing w:val="0"/>
        <w:rPr>
          <w:rFonts w:cs="Arial"/>
          <w:szCs w:val="24"/>
        </w:rPr>
      </w:pPr>
      <w:r w:rsidRPr="00B93F1D">
        <w:rPr>
          <w:rFonts w:cs="Arial"/>
          <w:szCs w:val="24"/>
        </w:rPr>
        <w:t xml:space="preserve">des lettres d’importateurs appuyant la demande d’exploitation de l’entrepôt d’attente, si l’ASFC le demande; </w:t>
      </w:r>
    </w:p>
    <w:p w14:paraId="1B42B611" w14:textId="77777777" w:rsidR="00B93F1D" w:rsidRDefault="008615BE" w:rsidP="00AE4B45">
      <w:pPr>
        <w:pStyle w:val="ListParagraph"/>
        <w:numPr>
          <w:ilvl w:val="0"/>
          <w:numId w:val="12"/>
        </w:numPr>
        <w:contextualSpacing w:val="0"/>
        <w:rPr>
          <w:rFonts w:cs="Arial"/>
          <w:szCs w:val="24"/>
        </w:rPr>
      </w:pPr>
      <w:r w:rsidRPr="00B93F1D">
        <w:rPr>
          <w:rFonts w:cs="Arial"/>
          <w:szCs w:val="24"/>
        </w:rPr>
        <w:t>un document d’enregistrement de l’entreprise indiquant le nom de tous les propriétaires, partenaires, agents et directeurs énumérés dans la demande;</w:t>
      </w:r>
    </w:p>
    <w:p w14:paraId="2E698113" w14:textId="77777777" w:rsidR="00B93F1D" w:rsidRDefault="008615BE" w:rsidP="00AE4B45">
      <w:pPr>
        <w:pStyle w:val="ListParagraph"/>
        <w:numPr>
          <w:ilvl w:val="0"/>
          <w:numId w:val="12"/>
        </w:numPr>
        <w:contextualSpacing w:val="0"/>
        <w:rPr>
          <w:rFonts w:cs="Arial"/>
          <w:szCs w:val="24"/>
        </w:rPr>
      </w:pPr>
      <w:r w:rsidRPr="00B93F1D">
        <w:rPr>
          <w:rFonts w:cs="Arial"/>
          <w:szCs w:val="24"/>
        </w:rPr>
        <w:t xml:space="preserve">des documents attestant que le demandeur dispose de ressources financières suffisantes pour louer ou acheter un entrepôt d’attente et pour l’exploiter; </w:t>
      </w:r>
    </w:p>
    <w:p w14:paraId="124606EA" w14:textId="712D6AB4" w:rsidR="00B93F1D" w:rsidRDefault="008615BE" w:rsidP="00AE4B45">
      <w:pPr>
        <w:pStyle w:val="ListParagraph"/>
        <w:numPr>
          <w:ilvl w:val="0"/>
          <w:numId w:val="12"/>
        </w:numPr>
        <w:contextualSpacing w:val="0"/>
        <w:rPr>
          <w:rFonts w:cs="Arial"/>
          <w:szCs w:val="24"/>
        </w:rPr>
      </w:pPr>
      <w:r w:rsidRPr="00B93F1D">
        <w:rPr>
          <w:rFonts w:cs="Arial"/>
          <w:szCs w:val="24"/>
        </w:rPr>
        <w:t xml:space="preserve">s’il y a lieu, une copie du contrat de manutention du fret. </w:t>
      </w:r>
      <w:r w:rsidR="00B676B4">
        <w:rPr>
          <w:rFonts w:cs="Arial"/>
          <w:szCs w:val="24"/>
        </w:rPr>
        <w:t>U</w:t>
      </w:r>
      <w:r w:rsidRPr="00B93F1D">
        <w:rPr>
          <w:rFonts w:cs="Arial"/>
          <w:szCs w:val="24"/>
        </w:rPr>
        <w:t xml:space="preserve">n échantillon du contrat de manutention de fret </w:t>
      </w:r>
      <w:r w:rsidR="00B676B4">
        <w:rPr>
          <w:rFonts w:cs="Arial"/>
          <w:szCs w:val="24"/>
        </w:rPr>
        <w:t xml:space="preserve">se trouve </w:t>
      </w:r>
      <w:r w:rsidRPr="00B93F1D">
        <w:rPr>
          <w:rFonts w:cs="Arial"/>
          <w:szCs w:val="24"/>
        </w:rPr>
        <w:t>à l’</w:t>
      </w:r>
      <w:hyperlink w:anchor="AppendixA" w:history="1">
        <w:r w:rsidRPr="00FD63D0">
          <w:rPr>
            <w:rStyle w:val="Hyperlink"/>
            <w:rFonts w:cs="Arial"/>
            <w:szCs w:val="24"/>
          </w:rPr>
          <w:t>annexe</w:t>
        </w:r>
        <w:r w:rsidR="00FD63D0" w:rsidRPr="00FD63D0">
          <w:rPr>
            <w:rStyle w:val="Hyperlink"/>
            <w:rFonts w:cs="Arial"/>
            <w:szCs w:val="24"/>
          </w:rPr>
          <w:t> </w:t>
        </w:r>
        <w:r w:rsidRPr="00FD63D0">
          <w:rPr>
            <w:rStyle w:val="Hyperlink"/>
            <w:rFonts w:cs="Arial"/>
            <w:szCs w:val="24"/>
          </w:rPr>
          <w:t>A</w:t>
        </w:r>
      </w:hyperlink>
      <w:r w:rsidRPr="00B93F1D">
        <w:rPr>
          <w:rFonts w:cs="Arial"/>
          <w:szCs w:val="24"/>
        </w:rPr>
        <w:t xml:space="preserve"> du présent mémorandum</w:t>
      </w:r>
      <w:r w:rsidR="00A22411">
        <w:rPr>
          <w:rFonts w:cs="Arial"/>
          <w:szCs w:val="24"/>
        </w:rPr>
        <w:t>;</w:t>
      </w:r>
    </w:p>
    <w:p w14:paraId="15DFDCF9" w14:textId="766378F8" w:rsidR="008615BE" w:rsidRPr="00B93F1D" w:rsidRDefault="008615BE" w:rsidP="00AE4B45">
      <w:pPr>
        <w:pStyle w:val="ListParagraph"/>
        <w:numPr>
          <w:ilvl w:val="0"/>
          <w:numId w:val="12"/>
        </w:numPr>
        <w:contextualSpacing w:val="0"/>
        <w:rPr>
          <w:rFonts w:cs="Arial"/>
          <w:szCs w:val="24"/>
        </w:rPr>
      </w:pPr>
      <w:r w:rsidRPr="00B93F1D">
        <w:rPr>
          <w:rFonts w:cs="Arial"/>
          <w:szCs w:val="24"/>
        </w:rPr>
        <w:t xml:space="preserve">une </w:t>
      </w:r>
      <w:r w:rsidR="00B5634E">
        <w:rPr>
          <w:rFonts w:cs="Arial"/>
          <w:szCs w:val="24"/>
        </w:rPr>
        <w:t xml:space="preserve">attestation de </w:t>
      </w:r>
      <w:r w:rsidRPr="00B93F1D">
        <w:rPr>
          <w:rFonts w:cs="Arial"/>
          <w:szCs w:val="24"/>
        </w:rPr>
        <w:t xml:space="preserve">vérification </w:t>
      </w:r>
      <w:r w:rsidR="00B5634E">
        <w:rPr>
          <w:rFonts w:cs="Arial"/>
          <w:szCs w:val="24"/>
        </w:rPr>
        <w:t>de</w:t>
      </w:r>
      <w:r w:rsidRPr="00B93F1D">
        <w:rPr>
          <w:rFonts w:cs="Arial"/>
          <w:szCs w:val="24"/>
        </w:rPr>
        <w:t xml:space="preserve"> casier judiciaire* pour chaque propriétaire, partenaire, agent et directeur de l’entité qui fait la demande. </w:t>
      </w:r>
    </w:p>
    <w:p w14:paraId="482CED9C" w14:textId="3AB96711" w:rsidR="008615BE" w:rsidRPr="008615BE" w:rsidRDefault="008615BE" w:rsidP="00B93F1D">
      <w:pPr>
        <w:spacing w:line="345" w:lineRule="exact"/>
        <w:rPr>
          <w:rFonts w:ascii="Arial" w:hAnsi="Arial" w:cs="Arial"/>
          <w:sz w:val="24"/>
          <w:szCs w:val="24"/>
          <w:lang w:val="fr-CA"/>
        </w:rPr>
      </w:pPr>
      <w:r w:rsidRPr="008615BE">
        <w:rPr>
          <w:rFonts w:ascii="Arial" w:hAnsi="Arial" w:cs="Arial"/>
          <w:sz w:val="24"/>
          <w:szCs w:val="24"/>
          <w:lang w:val="fr-CA"/>
        </w:rPr>
        <w:t>*</w:t>
      </w:r>
      <w:r w:rsidR="000C1897">
        <w:rPr>
          <w:rFonts w:ascii="Arial" w:hAnsi="Arial" w:cs="Arial"/>
          <w:sz w:val="24"/>
          <w:szCs w:val="24"/>
          <w:lang w:val="fr-CA"/>
        </w:rPr>
        <w:t> </w:t>
      </w:r>
      <w:r w:rsidR="00A9715E">
        <w:rPr>
          <w:rFonts w:ascii="Arial" w:hAnsi="Arial" w:cs="Arial"/>
          <w:sz w:val="24"/>
          <w:szCs w:val="24"/>
          <w:lang w:val="fr-CA"/>
        </w:rPr>
        <w:t xml:space="preserve">L’attestation de </w:t>
      </w:r>
      <w:r w:rsidRPr="008615BE">
        <w:rPr>
          <w:rFonts w:ascii="Arial" w:hAnsi="Arial" w:cs="Arial"/>
          <w:sz w:val="24"/>
          <w:szCs w:val="24"/>
          <w:lang w:val="fr-CA"/>
        </w:rPr>
        <w:t>vérification d</w:t>
      </w:r>
      <w:r w:rsidR="00A9715E">
        <w:rPr>
          <w:rFonts w:ascii="Arial" w:hAnsi="Arial" w:cs="Arial"/>
          <w:sz w:val="24"/>
          <w:szCs w:val="24"/>
          <w:lang w:val="fr-CA"/>
        </w:rPr>
        <w:t>e</w:t>
      </w:r>
      <w:r w:rsidRPr="008615BE">
        <w:rPr>
          <w:rFonts w:ascii="Arial" w:hAnsi="Arial" w:cs="Arial"/>
          <w:sz w:val="24"/>
          <w:szCs w:val="24"/>
          <w:lang w:val="fr-CA"/>
        </w:rPr>
        <w:t xml:space="preserve"> casier judiciaire est effectuée par le service de police local ou par un tiers </w:t>
      </w:r>
      <w:r w:rsidR="00A9715E">
        <w:rPr>
          <w:rFonts w:ascii="Arial" w:hAnsi="Arial" w:cs="Arial"/>
          <w:sz w:val="24"/>
          <w:szCs w:val="24"/>
          <w:lang w:val="fr-CA"/>
        </w:rPr>
        <w:t>agréé</w:t>
      </w:r>
      <w:r w:rsidRPr="008615BE">
        <w:rPr>
          <w:rFonts w:ascii="Arial" w:hAnsi="Arial" w:cs="Arial"/>
          <w:sz w:val="24"/>
          <w:szCs w:val="24"/>
          <w:lang w:val="fr-CA"/>
        </w:rPr>
        <w:t xml:space="preserve"> à l’aide de la technologie de prise d’empreintes digitales. Des renseignements généraux </w:t>
      </w:r>
      <w:r w:rsidR="001823B6">
        <w:rPr>
          <w:rFonts w:ascii="Arial" w:hAnsi="Arial" w:cs="Arial"/>
          <w:sz w:val="24"/>
          <w:szCs w:val="24"/>
          <w:lang w:val="fr-CA"/>
        </w:rPr>
        <w:t xml:space="preserve">pour obtenir </w:t>
      </w:r>
      <w:r w:rsidRPr="008615BE">
        <w:rPr>
          <w:rFonts w:ascii="Arial" w:hAnsi="Arial" w:cs="Arial"/>
          <w:sz w:val="24"/>
          <w:szCs w:val="24"/>
          <w:lang w:val="fr-CA"/>
        </w:rPr>
        <w:t xml:space="preserve">une vérification de casier judiciaire et d’empreintes digitales sont disponibles sur le </w:t>
      </w:r>
      <w:hyperlink r:id="rId14" w:history="1">
        <w:r w:rsidRPr="008615BE">
          <w:rPr>
            <w:rStyle w:val="Hyperlink"/>
            <w:rFonts w:ascii="Arial" w:hAnsi="Arial" w:cs="Arial"/>
            <w:sz w:val="24"/>
            <w:szCs w:val="24"/>
            <w:lang w:val="fr-CA"/>
          </w:rPr>
          <w:t xml:space="preserve">site Web de la Gendarmerie royale du </w:t>
        </w:r>
        <w:r w:rsidRPr="008615BE">
          <w:rPr>
            <w:rStyle w:val="Hyperlink"/>
            <w:rFonts w:ascii="Arial" w:hAnsi="Arial" w:cs="Arial"/>
            <w:sz w:val="24"/>
            <w:szCs w:val="24"/>
            <w:lang w:val="fr-CA"/>
          </w:rPr>
          <w:lastRenderedPageBreak/>
          <w:t>Canada</w:t>
        </w:r>
      </w:hyperlink>
      <w:r w:rsidRPr="008615BE">
        <w:rPr>
          <w:rFonts w:ascii="Arial" w:hAnsi="Arial" w:cs="Arial"/>
          <w:sz w:val="24"/>
          <w:szCs w:val="24"/>
          <w:lang w:val="fr-CA"/>
        </w:rPr>
        <w:t xml:space="preserve">. Comme chaque </w:t>
      </w:r>
      <w:r w:rsidR="00191C9E">
        <w:rPr>
          <w:rFonts w:ascii="Arial" w:hAnsi="Arial" w:cs="Arial"/>
          <w:sz w:val="24"/>
          <w:szCs w:val="24"/>
          <w:lang w:val="fr-CA"/>
        </w:rPr>
        <w:t>territoire</w:t>
      </w:r>
      <w:r w:rsidRPr="008615BE">
        <w:rPr>
          <w:rFonts w:ascii="Arial" w:hAnsi="Arial" w:cs="Arial"/>
          <w:sz w:val="24"/>
          <w:szCs w:val="24"/>
          <w:lang w:val="fr-CA"/>
        </w:rPr>
        <w:t xml:space="preserve"> peut avoir ses propres </w:t>
      </w:r>
      <w:r w:rsidR="00191C9E">
        <w:rPr>
          <w:rFonts w:ascii="Arial" w:hAnsi="Arial" w:cs="Arial"/>
          <w:sz w:val="24"/>
          <w:szCs w:val="24"/>
          <w:lang w:val="fr-CA"/>
        </w:rPr>
        <w:t>procédures</w:t>
      </w:r>
      <w:r w:rsidRPr="008615BE">
        <w:rPr>
          <w:rFonts w:ascii="Arial" w:hAnsi="Arial" w:cs="Arial"/>
          <w:sz w:val="24"/>
          <w:szCs w:val="24"/>
          <w:lang w:val="fr-CA"/>
        </w:rPr>
        <w:t xml:space="preserve">, consulter le service de police local pour obtenir des renseignements précis concernant les </w:t>
      </w:r>
      <w:r w:rsidR="00E9051A">
        <w:rPr>
          <w:rFonts w:ascii="Arial" w:hAnsi="Arial" w:cs="Arial"/>
          <w:sz w:val="24"/>
          <w:szCs w:val="24"/>
          <w:lang w:val="fr-CA"/>
        </w:rPr>
        <w:t xml:space="preserve">attestations de </w:t>
      </w:r>
      <w:r w:rsidRPr="008615BE">
        <w:rPr>
          <w:rFonts w:ascii="Arial" w:hAnsi="Arial" w:cs="Arial"/>
          <w:sz w:val="24"/>
          <w:szCs w:val="24"/>
          <w:lang w:val="fr-CA"/>
        </w:rPr>
        <w:t>vérification d</w:t>
      </w:r>
      <w:r w:rsidR="00E9051A">
        <w:rPr>
          <w:rFonts w:ascii="Arial" w:hAnsi="Arial" w:cs="Arial"/>
          <w:sz w:val="24"/>
          <w:szCs w:val="24"/>
          <w:lang w:val="fr-CA"/>
        </w:rPr>
        <w:t>e</w:t>
      </w:r>
      <w:r w:rsidRPr="008615BE">
        <w:rPr>
          <w:rFonts w:ascii="Arial" w:hAnsi="Arial" w:cs="Arial"/>
          <w:sz w:val="24"/>
          <w:szCs w:val="24"/>
          <w:lang w:val="fr-CA"/>
        </w:rPr>
        <w:t xml:space="preserve"> casier judiciaire. Les demandeurs étrangers doivent consulter leur service de police local. </w:t>
      </w:r>
    </w:p>
    <w:p w14:paraId="5EFD9673" w14:textId="76C7AD5D" w:rsidR="00B93F1D" w:rsidRDefault="008615BE" w:rsidP="00B93F1D">
      <w:pPr>
        <w:spacing w:line="345" w:lineRule="exact"/>
        <w:rPr>
          <w:rFonts w:ascii="Arial" w:hAnsi="Arial" w:cs="Arial"/>
          <w:sz w:val="24"/>
          <w:szCs w:val="24"/>
          <w:lang w:val="fr-CA"/>
        </w:rPr>
      </w:pPr>
      <w:r w:rsidRPr="008615BE">
        <w:rPr>
          <w:rFonts w:ascii="Arial" w:hAnsi="Arial" w:cs="Arial"/>
          <w:sz w:val="24"/>
          <w:szCs w:val="24"/>
          <w:lang w:val="fr-CA"/>
        </w:rPr>
        <w:t xml:space="preserve">Tous les frais </w:t>
      </w:r>
      <w:r w:rsidR="004974C3">
        <w:rPr>
          <w:rFonts w:ascii="Arial" w:hAnsi="Arial" w:cs="Arial"/>
          <w:sz w:val="24"/>
          <w:szCs w:val="24"/>
          <w:lang w:val="fr-CA"/>
        </w:rPr>
        <w:t>liés</w:t>
      </w:r>
      <w:r w:rsidRPr="008615BE">
        <w:rPr>
          <w:rFonts w:ascii="Arial" w:hAnsi="Arial" w:cs="Arial"/>
          <w:sz w:val="24"/>
          <w:szCs w:val="24"/>
          <w:lang w:val="fr-CA"/>
        </w:rPr>
        <w:t xml:space="preserve"> à la vérification d</w:t>
      </w:r>
      <w:r w:rsidR="004974C3">
        <w:rPr>
          <w:rFonts w:ascii="Arial" w:hAnsi="Arial" w:cs="Arial"/>
          <w:sz w:val="24"/>
          <w:szCs w:val="24"/>
          <w:lang w:val="fr-CA"/>
        </w:rPr>
        <w:t>e</w:t>
      </w:r>
      <w:r w:rsidRPr="008615BE">
        <w:rPr>
          <w:rFonts w:ascii="Arial" w:hAnsi="Arial" w:cs="Arial"/>
          <w:sz w:val="24"/>
          <w:szCs w:val="24"/>
          <w:lang w:val="fr-CA"/>
        </w:rPr>
        <w:t xml:space="preserve"> casier judiciaire sont à la charge du </w:t>
      </w:r>
      <w:r w:rsidR="00545D51">
        <w:rPr>
          <w:rFonts w:ascii="Arial" w:hAnsi="Arial" w:cs="Arial"/>
          <w:sz w:val="24"/>
          <w:szCs w:val="24"/>
          <w:lang w:val="fr-CA"/>
        </w:rPr>
        <w:t xml:space="preserve">ou </w:t>
      </w:r>
      <w:r w:rsidRPr="008615BE">
        <w:rPr>
          <w:rFonts w:ascii="Arial" w:hAnsi="Arial" w:cs="Arial"/>
          <w:sz w:val="24"/>
          <w:szCs w:val="24"/>
          <w:lang w:val="fr-CA"/>
        </w:rPr>
        <w:t>des demandeurs.</w:t>
      </w:r>
      <w:bookmarkStart w:id="12" w:name="paragraph10"/>
      <w:bookmarkEnd w:id="12"/>
      <w:r w:rsidR="00B93F1D">
        <w:rPr>
          <w:rFonts w:ascii="Arial" w:hAnsi="Arial" w:cs="Arial"/>
          <w:sz w:val="24"/>
          <w:szCs w:val="24"/>
          <w:lang w:val="fr-CA"/>
        </w:rPr>
        <w:t xml:space="preserve"> </w:t>
      </w:r>
    </w:p>
    <w:p w14:paraId="6DF0C427" w14:textId="53FD0A0E"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Afin de protéger la sécurité des renseignements fournis aux points e)</w:t>
      </w:r>
      <w:r w:rsidR="00604A3C">
        <w:rPr>
          <w:rFonts w:cs="Arial"/>
          <w:szCs w:val="24"/>
        </w:rPr>
        <w:t>, f)</w:t>
      </w:r>
      <w:r w:rsidRPr="00B93F1D">
        <w:rPr>
          <w:rFonts w:cs="Arial"/>
          <w:szCs w:val="24"/>
        </w:rPr>
        <w:t xml:space="preserve"> et </w:t>
      </w:r>
      <w:r w:rsidR="00604A3C">
        <w:rPr>
          <w:rFonts w:cs="Arial"/>
          <w:szCs w:val="24"/>
        </w:rPr>
        <w:t>h</w:t>
      </w:r>
      <w:r w:rsidRPr="00B93F1D">
        <w:rPr>
          <w:rFonts w:cs="Arial"/>
          <w:szCs w:val="24"/>
        </w:rPr>
        <w:t>) ci</w:t>
      </w:r>
      <w:r w:rsidRPr="00B93F1D">
        <w:rPr>
          <w:rFonts w:cs="Arial"/>
          <w:szCs w:val="24"/>
        </w:rPr>
        <w:noBreakHyphen/>
        <w:t xml:space="preserve">dessus, les documents ne doivent pas être </w:t>
      </w:r>
      <w:r w:rsidR="004C1ADC">
        <w:rPr>
          <w:rFonts w:cs="Arial"/>
          <w:szCs w:val="24"/>
        </w:rPr>
        <w:t>envoyés par</w:t>
      </w:r>
      <w:r w:rsidRPr="00B93F1D">
        <w:rPr>
          <w:rFonts w:cs="Arial"/>
          <w:szCs w:val="24"/>
        </w:rPr>
        <w:t xml:space="preserve"> le </w:t>
      </w:r>
      <w:r w:rsidR="00907ABA">
        <w:rPr>
          <w:rFonts w:cs="Arial"/>
        </w:rPr>
        <w:t>PCG</w:t>
      </w:r>
      <w:r w:rsidRPr="00B93F1D">
        <w:rPr>
          <w:rFonts w:cs="Arial"/>
          <w:szCs w:val="24"/>
        </w:rPr>
        <w:t xml:space="preserve">. Les demandeurs doivent envoyer les documents par la poste au bureau local de l’ASFC où la demande </w:t>
      </w:r>
      <w:r w:rsidR="00C75994">
        <w:rPr>
          <w:rFonts w:cs="Arial"/>
          <w:szCs w:val="24"/>
        </w:rPr>
        <w:t>a été présentée</w:t>
      </w:r>
      <w:r w:rsidRPr="00B93F1D">
        <w:rPr>
          <w:rFonts w:cs="Arial"/>
          <w:szCs w:val="24"/>
        </w:rPr>
        <w:t>.</w:t>
      </w:r>
    </w:p>
    <w:p w14:paraId="534D8806" w14:textId="2D778DE2"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 xml:space="preserve">Le demandeur recevra un accusé de réception dans le </w:t>
      </w:r>
      <w:r w:rsidR="00907ABA">
        <w:rPr>
          <w:rFonts w:cs="Arial"/>
        </w:rPr>
        <w:t>PCG</w:t>
      </w:r>
      <w:r w:rsidR="00907ABA" w:rsidRPr="00B93F1D" w:rsidDel="00907ABA">
        <w:rPr>
          <w:rFonts w:cs="Arial"/>
          <w:szCs w:val="24"/>
        </w:rPr>
        <w:t xml:space="preserve"> </w:t>
      </w:r>
      <w:r w:rsidRPr="00B93F1D">
        <w:rPr>
          <w:rFonts w:cs="Arial"/>
          <w:szCs w:val="24"/>
        </w:rPr>
        <w:t xml:space="preserve">l’informant que </w:t>
      </w:r>
      <w:r w:rsidR="004C1ADC">
        <w:rPr>
          <w:rFonts w:cs="Arial"/>
          <w:szCs w:val="24"/>
        </w:rPr>
        <w:t xml:space="preserve">l’ASFC a bien reçu </w:t>
      </w:r>
      <w:r w:rsidRPr="00B93F1D">
        <w:rPr>
          <w:rFonts w:cs="Arial"/>
          <w:szCs w:val="24"/>
        </w:rPr>
        <w:t>sa demande.</w:t>
      </w:r>
    </w:p>
    <w:p w14:paraId="0EDDF63D" w14:textId="11A3923D"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S</w:t>
      </w:r>
      <w:r w:rsidR="00F76F7B">
        <w:rPr>
          <w:rFonts w:cs="Arial"/>
          <w:szCs w:val="24"/>
        </w:rPr>
        <w:t>’il manque</w:t>
      </w:r>
      <w:r w:rsidRPr="00B93F1D">
        <w:rPr>
          <w:rFonts w:cs="Arial"/>
          <w:szCs w:val="24"/>
        </w:rPr>
        <w:t xml:space="preserve"> des renseignements et que la demande est considérée </w:t>
      </w:r>
      <w:r w:rsidR="008025C3">
        <w:rPr>
          <w:rFonts w:cs="Arial"/>
          <w:szCs w:val="24"/>
        </w:rPr>
        <w:t xml:space="preserve">comme </w:t>
      </w:r>
      <w:r w:rsidRPr="00B93F1D">
        <w:rPr>
          <w:rFonts w:cs="Arial"/>
          <w:szCs w:val="24"/>
        </w:rPr>
        <w:t xml:space="preserve">incomplète, l’ASFC refusera la demande et le demandeur recevra un avis contenant les motifs du refus dans le </w:t>
      </w:r>
      <w:r w:rsidR="00907ABA">
        <w:rPr>
          <w:rFonts w:cs="Arial"/>
        </w:rPr>
        <w:t>PCG</w:t>
      </w:r>
      <w:r w:rsidRPr="00B93F1D">
        <w:rPr>
          <w:rFonts w:cs="Arial"/>
          <w:szCs w:val="24"/>
        </w:rPr>
        <w:t>.</w:t>
      </w:r>
    </w:p>
    <w:p w14:paraId="222C9ABE" w14:textId="4763FBE1"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 xml:space="preserve">Le demandeur peut soumettre une nouvelle demande corrigée à l’ASFC dans le </w:t>
      </w:r>
      <w:r w:rsidR="00907ABA">
        <w:rPr>
          <w:rFonts w:cs="Arial"/>
        </w:rPr>
        <w:t>PCG</w:t>
      </w:r>
      <w:r w:rsidRPr="00B93F1D">
        <w:rPr>
          <w:rFonts w:cs="Arial"/>
          <w:szCs w:val="24"/>
        </w:rPr>
        <w:t>.</w:t>
      </w:r>
    </w:p>
    <w:p w14:paraId="2FDC6954" w14:textId="38F12A80"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 xml:space="preserve">L’ASFC commencera l’évaluation de la demande </w:t>
      </w:r>
      <w:r w:rsidR="00F76F7B">
        <w:rPr>
          <w:rFonts w:cs="Arial"/>
          <w:szCs w:val="24"/>
        </w:rPr>
        <w:t>dûment remplie</w:t>
      </w:r>
      <w:r w:rsidRPr="00B93F1D">
        <w:rPr>
          <w:rFonts w:cs="Arial"/>
          <w:szCs w:val="24"/>
        </w:rPr>
        <w:t xml:space="preserve"> dès qu’elle la recevra. </w:t>
      </w:r>
      <w:r w:rsidR="00F76F7B">
        <w:rPr>
          <w:rFonts w:cs="Arial"/>
          <w:szCs w:val="24"/>
        </w:rPr>
        <w:t>La</w:t>
      </w:r>
      <w:r w:rsidRPr="00B93F1D">
        <w:rPr>
          <w:rFonts w:cs="Arial"/>
          <w:szCs w:val="24"/>
        </w:rPr>
        <w:t xml:space="preserve"> norme de service de 60 jours</w:t>
      </w:r>
      <w:r w:rsidR="00C6277C">
        <w:rPr>
          <w:rFonts w:cs="Arial"/>
          <w:szCs w:val="24"/>
        </w:rPr>
        <w:t xml:space="preserve"> est alors enclenchée</w:t>
      </w:r>
      <w:r w:rsidRPr="00B93F1D">
        <w:rPr>
          <w:rFonts w:cs="Arial"/>
          <w:szCs w:val="24"/>
        </w:rPr>
        <w:t>.</w:t>
      </w:r>
    </w:p>
    <w:p w14:paraId="14FBB80B" w14:textId="57730913" w:rsidR="00B93F1D" w:rsidRPr="000C0D99" w:rsidRDefault="008615BE" w:rsidP="00B93F1D">
      <w:pPr>
        <w:pStyle w:val="ListParagraph"/>
        <w:numPr>
          <w:ilvl w:val="0"/>
          <w:numId w:val="3"/>
        </w:numPr>
        <w:tabs>
          <w:tab w:val="num" w:pos="0"/>
        </w:tabs>
        <w:contextualSpacing w:val="0"/>
        <w:rPr>
          <w:rFonts w:cs="Arial"/>
          <w:szCs w:val="24"/>
        </w:rPr>
      </w:pPr>
      <w:r w:rsidRPr="00B93F1D">
        <w:rPr>
          <w:rFonts w:cs="Arial"/>
          <w:szCs w:val="24"/>
        </w:rPr>
        <w:t xml:space="preserve">L’ASFC examine le plan d’entrepôt d’attente projeté pour s’assurer que l’installation répond </w:t>
      </w:r>
      <w:r w:rsidR="00020D79">
        <w:rPr>
          <w:rFonts w:cs="Arial"/>
          <w:szCs w:val="24"/>
        </w:rPr>
        <w:t>à ses</w:t>
      </w:r>
      <w:r w:rsidRPr="00B93F1D">
        <w:rPr>
          <w:rFonts w:cs="Arial"/>
          <w:szCs w:val="24"/>
        </w:rPr>
        <w:t xml:space="preserve"> exigences en ce qui a trait à l’emplacement, à la pertinence, à la sécurité, à l’aménagement, au chauffage et à l’éclairage, tel qu’énoncé dans la Partie II du </w:t>
      </w:r>
      <w:hyperlink r:id="rId15" w:anchor="h-10" w:history="1">
        <w:r w:rsidRPr="000C0D99">
          <w:rPr>
            <w:rStyle w:val="Hyperlink"/>
            <w:rFonts w:cs="Arial"/>
            <w:i/>
            <w:iCs/>
            <w:szCs w:val="24"/>
          </w:rPr>
          <w:t>Règlement sur les entrepôts d’attente des douanes</w:t>
        </w:r>
        <w:r w:rsidRPr="00880932">
          <w:rPr>
            <w:rStyle w:val="Hyperlink"/>
            <w:rFonts w:cs="Arial"/>
            <w:szCs w:val="24"/>
          </w:rPr>
          <w:t xml:space="preserve"> </w:t>
        </w:r>
        <w:r w:rsidR="00020D79">
          <w:rPr>
            <w:rStyle w:val="Hyperlink"/>
            <w:rFonts w:cs="Arial"/>
            <w:szCs w:val="24"/>
          </w:rPr>
          <w:t>–</w:t>
        </w:r>
        <w:r w:rsidRPr="00880932">
          <w:rPr>
            <w:rStyle w:val="Hyperlink"/>
            <w:rFonts w:cs="Arial"/>
            <w:szCs w:val="24"/>
          </w:rPr>
          <w:t xml:space="preserve"> </w:t>
        </w:r>
        <w:r w:rsidRPr="000C0D99">
          <w:rPr>
            <w:rStyle w:val="Hyperlink"/>
            <w:rFonts w:cs="Arial"/>
            <w:szCs w:val="24"/>
          </w:rPr>
          <w:t>Exploitation de l’entrepôt d’attente</w:t>
        </w:r>
      </w:hyperlink>
      <w:r w:rsidRPr="000C0D99">
        <w:rPr>
          <w:rFonts w:cs="Arial"/>
          <w:szCs w:val="24"/>
        </w:rPr>
        <w:t>.</w:t>
      </w:r>
    </w:p>
    <w:p w14:paraId="0AC5EEE6" w14:textId="6FC605BD"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Les demandeurs ne doivent pas signer de bail et ne doivent pas engager de dépenses en capital pour les travaux de rénovation ou de construction d’un entrepôt d’attente tant que leur demande n’a pas été approuvée.</w:t>
      </w:r>
      <w:r w:rsidR="00E366EE">
        <w:rPr>
          <w:rFonts w:cs="Arial"/>
          <w:szCs w:val="24"/>
        </w:rPr>
        <w:t xml:space="preserve"> Le temps requis pour </w:t>
      </w:r>
      <w:r w:rsidR="008150F7">
        <w:rPr>
          <w:rFonts w:cs="Arial"/>
          <w:szCs w:val="24"/>
        </w:rPr>
        <w:t>effectuer</w:t>
      </w:r>
      <w:r w:rsidR="00E366EE">
        <w:rPr>
          <w:rFonts w:cs="Arial"/>
          <w:szCs w:val="24"/>
        </w:rPr>
        <w:t xml:space="preserve"> les </w:t>
      </w:r>
      <w:r w:rsidR="008150F7">
        <w:rPr>
          <w:rFonts w:cs="Arial"/>
          <w:szCs w:val="24"/>
        </w:rPr>
        <w:t xml:space="preserve">travaux de </w:t>
      </w:r>
      <w:r w:rsidR="00E366EE">
        <w:rPr>
          <w:rFonts w:cs="Arial"/>
          <w:szCs w:val="24"/>
        </w:rPr>
        <w:t xml:space="preserve">rénovation ou </w:t>
      </w:r>
      <w:r w:rsidR="008150F7">
        <w:rPr>
          <w:rFonts w:cs="Arial"/>
          <w:szCs w:val="24"/>
        </w:rPr>
        <w:t>de</w:t>
      </w:r>
      <w:r w:rsidR="00E366EE">
        <w:rPr>
          <w:rFonts w:cs="Arial"/>
          <w:szCs w:val="24"/>
        </w:rPr>
        <w:t xml:space="preserve"> construction ne sera </w:t>
      </w:r>
      <w:r w:rsidR="00573C23">
        <w:rPr>
          <w:rFonts w:cs="Arial"/>
          <w:szCs w:val="24"/>
        </w:rPr>
        <w:t>pas pris en compte</w:t>
      </w:r>
      <w:r w:rsidR="00E366EE">
        <w:rPr>
          <w:rFonts w:cs="Arial"/>
          <w:szCs w:val="24"/>
        </w:rPr>
        <w:t xml:space="preserve"> dans la norme de service de 60</w:t>
      </w:r>
      <w:r w:rsidR="00573C23">
        <w:rPr>
          <w:rFonts w:cs="Arial"/>
          <w:szCs w:val="24"/>
        </w:rPr>
        <w:t> </w:t>
      </w:r>
      <w:r w:rsidR="00E366EE">
        <w:rPr>
          <w:rFonts w:cs="Arial"/>
          <w:szCs w:val="24"/>
        </w:rPr>
        <w:t>jours de l’ASFC.</w:t>
      </w:r>
    </w:p>
    <w:p w14:paraId="1B084A74" w14:textId="77777777" w:rsidR="00B93F1D" w:rsidRDefault="008615BE" w:rsidP="00B93F1D">
      <w:pPr>
        <w:pStyle w:val="ListParagraph"/>
        <w:numPr>
          <w:ilvl w:val="0"/>
          <w:numId w:val="3"/>
        </w:numPr>
        <w:tabs>
          <w:tab w:val="num" w:pos="0"/>
        </w:tabs>
        <w:contextualSpacing w:val="0"/>
        <w:rPr>
          <w:rFonts w:cs="Arial"/>
          <w:szCs w:val="24"/>
        </w:rPr>
      </w:pPr>
      <w:r w:rsidRPr="00B93F1D">
        <w:rPr>
          <w:rFonts w:cs="Arial"/>
          <w:szCs w:val="24"/>
        </w:rPr>
        <w:lastRenderedPageBreak/>
        <w:t>Les demandeurs ne doivent pas commencer à exploiter l’entrepôt d’attente tant que leur demande n’a pas été approuvée par l’ASFC.</w:t>
      </w:r>
    </w:p>
    <w:p w14:paraId="73D03393" w14:textId="08FAED14" w:rsidR="008615BE" w:rsidRPr="00B93F1D" w:rsidRDefault="008615BE" w:rsidP="00B93F1D">
      <w:pPr>
        <w:pStyle w:val="ListParagraph"/>
        <w:numPr>
          <w:ilvl w:val="0"/>
          <w:numId w:val="3"/>
        </w:numPr>
        <w:tabs>
          <w:tab w:val="num" w:pos="0"/>
        </w:tabs>
        <w:contextualSpacing w:val="0"/>
        <w:rPr>
          <w:rFonts w:cs="Arial"/>
          <w:szCs w:val="24"/>
        </w:rPr>
      </w:pPr>
      <w:r w:rsidRPr="00B93F1D">
        <w:rPr>
          <w:rFonts w:cs="Arial"/>
          <w:szCs w:val="24"/>
        </w:rPr>
        <w:t xml:space="preserve">Si la demande est rejetée, l’ASFC envoie un avis au demandeur dans le </w:t>
      </w:r>
      <w:r w:rsidR="00907ABA">
        <w:rPr>
          <w:rFonts w:cs="Arial"/>
        </w:rPr>
        <w:t>PCG</w:t>
      </w:r>
      <w:r w:rsidR="00907ABA" w:rsidRPr="00B93F1D" w:rsidDel="00907ABA">
        <w:rPr>
          <w:rFonts w:cs="Arial"/>
          <w:szCs w:val="24"/>
        </w:rPr>
        <w:t xml:space="preserve"> </w:t>
      </w:r>
      <w:r w:rsidRPr="00B93F1D">
        <w:rPr>
          <w:rFonts w:cs="Arial"/>
          <w:szCs w:val="24"/>
        </w:rPr>
        <w:t>pour l’informer des motifs du refus.</w:t>
      </w:r>
    </w:p>
    <w:p w14:paraId="1557907B" w14:textId="77777777" w:rsidR="008615BE" w:rsidRPr="008615BE" w:rsidRDefault="008615BE" w:rsidP="00B93F1D">
      <w:pPr>
        <w:pStyle w:val="Heading3"/>
      </w:pPr>
      <w:bookmarkStart w:id="13" w:name="_bookmark5"/>
      <w:bookmarkStart w:id="14" w:name="RequirementstoObtainaLicence"/>
      <w:bookmarkStart w:id="15" w:name="_Exigences_pour_obtenir"/>
      <w:bookmarkEnd w:id="13"/>
      <w:bookmarkEnd w:id="14"/>
      <w:bookmarkEnd w:id="15"/>
      <w:r w:rsidRPr="008615BE">
        <w:t>Exigences pour obtenir un agrément</w:t>
      </w:r>
    </w:p>
    <w:p w14:paraId="1D85D22E" w14:textId="1DA63C2E" w:rsidR="001738C4" w:rsidRDefault="00A22411" w:rsidP="001738C4">
      <w:pPr>
        <w:pStyle w:val="ListParagraph"/>
        <w:numPr>
          <w:ilvl w:val="0"/>
          <w:numId w:val="3"/>
        </w:numPr>
        <w:contextualSpacing w:val="0"/>
        <w:rPr>
          <w:rFonts w:cs="Arial"/>
          <w:szCs w:val="24"/>
        </w:rPr>
      </w:pPr>
      <w:r>
        <w:rPr>
          <w:rFonts w:cs="Arial"/>
          <w:szCs w:val="24"/>
        </w:rPr>
        <w:t>Avant que</w:t>
      </w:r>
      <w:r w:rsidRPr="001738C4">
        <w:rPr>
          <w:rFonts w:cs="Arial"/>
          <w:szCs w:val="24"/>
        </w:rPr>
        <w:t xml:space="preserve"> </w:t>
      </w:r>
      <w:r w:rsidR="008615BE" w:rsidRPr="001738C4">
        <w:rPr>
          <w:rFonts w:cs="Arial"/>
          <w:szCs w:val="24"/>
        </w:rPr>
        <w:t>l’ASFC approuve une demande présentée pour l’exploitation d’un entrepôt d’attente, ou avant que l’agrément ne soit octroyé au demandeur, les conditions suivantes doivent être respectées :</w:t>
      </w:r>
    </w:p>
    <w:p w14:paraId="5C548B5A" w14:textId="77777777" w:rsidR="001738C4" w:rsidRDefault="008615BE" w:rsidP="001738C4">
      <w:pPr>
        <w:pStyle w:val="ListParagraph"/>
        <w:numPr>
          <w:ilvl w:val="1"/>
          <w:numId w:val="3"/>
        </w:numPr>
        <w:contextualSpacing w:val="0"/>
        <w:rPr>
          <w:rFonts w:cs="Arial"/>
          <w:szCs w:val="24"/>
        </w:rPr>
      </w:pPr>
      <w:r w:rsidRPr="001738C4">
        <w:rPr>
          <w:rFonts w:cs="Arial"/>
          <w:szCs w:val="24"/>
        </w:rPr>
        <w:t>le demandeur jouit d’une bonne réputation;</w:t>
      </w:r>
    </w:p>
    <w:p w14:paraId="376CFC55" w14:textId="77777777" w:rsidR="001738C4" w:rsidRDefault="008615BE" w:rsidP="001738C4">
      <w:pPr>
        <w:pStyle w:val="ListParagraph"/>
        <w:numPr>
          <w:ilvl w:val="1"/>
          <w:numId w:val="3"/>
        </w:numPr>
        <w:contextualSpacing w:val="0"/>
        <w:rPr>
          <w:rFonts w:cs="Arial"/>
          <w:szCs w:val="24"/>
        </w:rPr>
      </w:pPr>
      <w:r w:rsidRPr="001738C4">
        <w:rPr>
          <w:rFonts w:cs="Arial"/>
          <w:szCs w:val="24"/>
        </w:rPr>
        <w:t xml:space="preserve">le demandeur dispose de ressources financières suffisantes pour fournir les installations, le matériel, le personnel et les services requis en vertu des articles 11 à 13 du </w:t>
      </w:r>
      <w:r w:rsidRPr="008A5C7C">
        <w:rPr>
          <w:rFonts w:cs="Arial"/>
          <w:i/>
          <w:iCs/>
          <w:szCs w:val="24"/>
        </w:rPr>
        <w:t>Règlement</w:t>
      </w:r>
      <w:r w:rsidRPr="001738C4">
        <w:rPr>
          <w:rFonts w:cs="Arial"/>
          <w:szCs w:val="24"/>
        </w:rPr>
        <w:t xml:space="preserve"> et pour louer ou acheter l’entrepôt d’attente projeté;</w:t>
      </w:r>
    </w:p>
    <w:p w14:paraId="7236BBDC" w14:textId="77777777" w:rsidR="001738C4" w:rsidRDefault="008615BE" w:rsidP="001738C4">
      <w:pPr>
        <w:pStyle w:val="ListParagraph"/>
        <w:numPr>
          <w:ilvl w:val="1"/>
          <w:numId w:val="3"/>
        </w:numPr>
        <w:contextualSpacing w:val="0"/>
        <w:rPr>
          <w:rFonts w:cs="Arial"/>
          <w:szCs w:val="24"/>
        </w:rPr>
      </w:pPr>
      <w:r w:rsidRPr="001738C4">
        <w:rPr>
          <w:rFonts w:cs="Arial"/>
          <w:szCs w:val="24"/>
        </w:rPr>
        <w:t>le volume et la nature du commerce dans la région où l’entrepôt doit être situé justifient l’établissement d’un entrepôt d’attente pour desservir les importateurs de cette région;</w:t>
      </w:r>
    </w:p>
    <w:p w14:paraId="0D45EE80" w14:textId="1AD707D8" w:rsidR="001738C4" w:rsidRDefault="008615BE" w:rsidP="001738C4">
      <w:pPr>
        <w:pStyle w:val="ListParagraph"/>
        <w:numPr>
          <w:ilvl w:val="1"/>
          <w:numId w:val="3"/>
        </w:numPr>
        <w:contextualSpacing w:val="0"/>
        <w:rPr>
          <w:rFonts w:cs="Arial"/>
          <w:szCs w:val="24"/>
        </w:rPr>
      </w:pPr>
      <w:r w:rsidRPr="001738C4">
        <w:rPr>
          <w:rFonts w:cs="Arial"/>
          <w:szCs w:val="24"/>
        </w:rPr>
        <w:t xml:space="preserve">l’entrepôt d’attente projeté est situé à une distance raisonnable de voies de transport importantes et d’un bureau de </w:t>
      </w:r>
      <w:r w:rsidR="007D0B34">
        <w:rPr>
          <w:rFonts w:cs="Arial"/>
          <w:szCs w:val="24"/>
        </w:rPr>
        <w:t>l’ASFC</w:t>
      </w:r>
      <w:r w:rsidRPr="001738C4">
        <w:rPr>
          <w:rFonts w:cs="Arial"/>
          <w:szCs w:val="24"/>
        </w:rPr>
        <w:t>;</w:t>
      </w:r>
    </w:p>
    <w:p w14:paraId="013E14C3" w14:textId="77777777" w:rsidR="001738C4" w:rsidRDefault="008615BE" w:rsidP="001738C4">
      <w:pPr>
        <w:pStyle w:val="ListParagraph"/>
        <w:numPr>
          <w:ilvl w:val="1"/>
          <w:numId w:val="3"/>
        </w:numPr>
        <w:contextualSpacing w:val="0"/>
        <w:rPr>
          <w:rFonts w:cs="Arial"/>
          <w:szCs w:val="24"/>
        </w:rPr>
      </w:pPr>
      <w:r w:rsidRPr="001738C4">
        <w:rPr>
          <w:rFonts w:cs="Arial"/>
          <w:szCs w:val="24"/>
        </w:rPr>
        <w:t>l’entrepôt d’attente projeté offre suffisamment d’espace pour permettre d’entreposer les marchandises importées;</w:t>
      </w:r>
    </w:p>
    <w:p w14:paraId="21D6647F" w14:textId="77777777" w:rsidR="001738C4" w:rsidRDefault="008615BE" w:rsidP="001738C4">
      <w:pPr>
        <w:pStyle w:val="ListParagraph"/>
        <w:numPr>
          <w:ilvl w:val="1"/>
          <w:numId w:val="3"/>
        </w:numPr>
        <w:contextualSpacing w:val="0"/>
        <w:rPr>
          <w:rFonts w:cs="Arial"/>
          <w:szCs w:val="24"/>
        </w:rPr>
      </w:pPr>
      <w:r w:rsidRPr="001738C4">
        <w:rPr>
          <w:rFonts w:cs="Arial"/>
          <w:szCs w:val="24"/>
        </w:rPr>
        <w:t xml:space="preserve">la structure de l’entrepôt d’attente projeté convient à l’exploitation d’un entrepôt d’attente; </w:t>
      </w:r>
    </w:p>
    <w:p w14:paraId="58356F7D" w14:textId="0FD82D53" w:rsidR="001738C4" w:rsidRDefault="008615BE" w:rsidP="001738C4">
      <w:pPr>
        <w:pStyle w:val="ListParagraph"/>
        <w:numPr>
          <w:ilvl w:val="1"/>
          <w:numId w:val="3"/>
        </w:numPr>
        <w:contextualSpacing w:val="0"/>
        <w:rPr>
          <w:rFonts w:cs="Arial"/>
          <w:szCs w:val="24"/>
        </w:rPr>
      </w:pPr>
      <w:r w:rsidRPr="001738C4">
        <w:rPr>
          <w:rFonts w:cs="Arial"/>
          <w:szCs w:val="24"/>
        </w:rPr>
        <w:t>l’A</w:t>
      </w:r>
      <w:r w:rsidR="003369EB">
        <w:rPr>
          <w:rFonts w:cs="Arial"/>
          <w:szCs w:val="24"/>
        </w:rPr>
        <w:t>SFC</w:t>
      </w:r>
      <w:r w:rsidRPr="001738C4">
        <w:rPr>
          <w:rFonts w:cs="Arial"/>
          <w:szCs w:val="24"/>
        </w:rPr>
        <w:t xml:space="preserve"> peut fournir à l’entrepôt d’attente projeté les services </w:t>
      </w:r>
      <w:r w:rsidR="00B37DA5">
        <w:rPr>
          <w:rFonts w:cs="Arial"/>
          <w:szCs w:val="24"/>
        </w:rPr>
        <w:t xml:space="preserve">de </w:t>
      </w:r>
      <w:r w:rsidR="000E5487">
        <w:rPr>
          <w:rFonts w:cs="Arial"/>
          <w:szCs w:val="24"/>
        </w:rPr>
        <w:t>douane</w:t>
      </w:r>
      <w:r w:rsidRPr="001738C4">
        <w:rPr>
          <w:rFonts w:cs="Arial"/>
          <w:szCs w:val="24"/>
        </w:rPr>
        <w:t>;</w:t>
      </w:r>
    </w:p>
    <w:p w14:paraId="7756F8E4" w14:textId="4DE561B5" w:rsidR="008615BE" w:rsidRPr="001738C4" w:rsidRDefault="008615BE" w:rsidP="001738C4">
      <w:pPr>
        <w:pStyle w:val="ListParagraph"/>
        <w:numPr>
          <w:ilvl w:val="1"/>
          <w:numId w:val="3"/>
        </w:numPr>
        <w:contextualSpacing w:val="0"/>
        <w:rPr>
          <w:rFonts w:cs="Arial"/>
          <w:szCs w:val="24"/>
        </w:rPr>
      </w:pPr>
      <w:r w:rsidRPr="001738C4">
        <w:rPr>
          <w:rFonts w:cs="Arial"/>
          <w:szCs w:val="24"/>
        </w:rPr>
        <w:t>le montant nécessaire pour la garantie financière est déposé dans le format approprié auprès de l’ASFC. Voir la section «</w:t>
      </w:r>
      <w:r w:rsidR="007E47DB">
        <w:rPr>
          <w:rFonts w:cs="Arial"/>
          <w:szCs w:val="24"/>
        </w:rPr>
        <w:t> </w:t>
      </w:r>
      <w:r w:rsidRPr="001738C4">
        <w:rPr>
          <w:rFonts w:cs="Arial"/>
          <w:szCs w:val="24"/>
        </w:rPr>
        <w:t>Garantie financière</w:t>
      </w:r>
      <w:r w:rsidR="007E47DB">
        <w:rPr>
          <w:rFonts w:cs="Arial"/>
          <w:szCs w:val="24"/>
        </w:rPr>
        <w:t> </w:t>
      </w:r>
      <w:r w:rsidRPr="001738C4">
        <w:rPr>
          <w:rFonts w:cs="Arial"/>
          <w:szCs w:val="24"/>
        </w:rPr>
        <w:t>» ci-dessous.</w:t>
      </w:r>
    </w:p>
    <w:p w14:paraId="5E972EA6" w14:textId="73E24460" w:rsidR="008615BE" w:rsidRPr="008615BE" w:rsidRDefault="008615BE" w:rsidP="001738C4">
      <w:pPr>
        <w:pStyle w:val="Heading3"/>
      </w:pPr>
      <w:bookmarkStart w:id="16" w:name="_bookmark6"/>
      <w:bookmarkStart w:id="17" w:name="FinancialSecurity"/>
      <w:bookmarkStart w:id="18" w:name="_Garantie_financière_-"/>
      <w:bookmarkEnd w:id="16"/>
      <w:bookmarkEnd w:id="17"/>
      <w:bookmarkEnd w:id="18"/>
      <w:r w:rsidRPr="008615BE">
        <w:t xml:space="preserve">Garantie financière </w:t>
      </w:r>
      <w:r w:rsidR="00E7466F">
        <w:t>–</w:t>
      </w:r>
      <w:r w:rsidRPr="008615BE">
        <w:t xml:space="preserve"> </w:t>
      </w:r>
      <w:r w:rsidR="00B843C0">
        <w:t>d</w:t>
      </w:r>
      <w:r w:rsidRPr="008615BE">
        <w:t>emandes</w:t>
      </w:r>
    </w:p>
    <w:p w14:paraId="597184EF" w14:textId="77777777" w:rsidR="001738C4" w:rsidRDefault="008615BE" w:rsidP="001738C4">
      <w:pPr>
        <w:pStyle w:val="ListParagraph"/>
        <w:numPr>
          <w:ilvl w:val="0"/>
          <w:numId w:val="3"/>
        </w:numPr>
        <w:contextualSpacing w:val="0"/>
        <w:rPr>
          <w:rFonts w:cs="Arial"/>
          <w:szCs w:val="24"/>
        </w:rPr>
      </w:pPr>
      <w:r w:rsidRPr="001738C4">
        <w:rPr>
          <w:rFonts w:cs="Arial"/>
          <w:szCs w:val="24"/>
        </w:rPr>
        <w:lastRenderedPageBreak/>
        <w:t>La garantie exigée pour chaque entrepôt d’attente est calculée d’après le nombre annuel d’expéditions destinées à l’entrepôt ou celui des mainlevées qui y sont effectuées, à raison de 1 000 $ pour chaque 1 000 expéditions ou mainlevées. La garantie ne peut être inférieure à 20 000 $.</w:t>
      </w:r>
    </w:p>
    <w:p w14:paraId="5588DE7C" w14:textId="4A661F18" w:rsidR="001738C4" w:rsidRDefault="001814D1" w:rsidP="001738C4">
      <w:pPr>
        <w:pStyle w:val="ListParagraph"/>
        <w:numPr>
          <w:ilvl w:val="0"/>
          <w:numId w:val="3"/>
        </w:numPr>
        <w:contextualSpacing w:val="0"/>
        <w:rPr>
          <w:rFonts w:cs="Arial"/>
          <w:szCs w:val="24"/>
        </w:rPr>
      </w:pPr>
      <w:r>
        <w:t xml:space="preserve">Le </w:t>
      </w:r>
      <w:hyperlink r:id="rId16" w:history="1">
        <w:r w:rsidR="008615BE" w:rsidRPr="00880932">
          <w:rPr>
            <w:rStyle w:val="Hyperlink"/>
            <w:rFonts w:cs="Arial"/>
            <w:i/>
            <w:iCs/>
            <w:szCs w:val="24"/>
          </w:rPr>
          <w:t>Règlement sur les garanties financières (moyens électroniques)</w:t>
        </w:r>
      </w:hyperlink>
      <w:r w:rsidR="008615BE" w:rsidRPr="001738C4">
        <w:rPr>
          <w:rFonts w:cs="Arial"/>
          <w:szCs w:val="24"/>
        </w:rPr>
        <w:t xml:space="preserve"> permet de déposer des cautionnements électroniques. Les garanties financières doivent être déposées dans le </w:t>
      </w:r>
      <w:r w:rsidR="00C50BCF">
        <w:rPr>
          <w:rFonts w:cs="Arial"/>
        </w:rPr>
        <w:t>PCG</w:t>
      </w:r>
      <w:r w:rsidR="008615BE" w:rsidRPr="001738C4">
        <w:rPr>
          <w:rFonts w:cs="Arial"/>
          <w:szCs w:val="24"/>
        </w:rPr>
        <w:t xml:space="preserve">. Le </w:t>
      </w:r>
      <w:hyperlink r:id="rId17" w:history="1">
        <w:r w:rsidR="008615BE" w:rsidRPr="001738C4">
          <w:rPr>
            <w:rStyle w:val="Hyperlink"/>
            <w:rFonts w:cs="Arial"/>
            <w:szCs w:val="24"/>
          </w:rPr>
          <w:t>Mémorandum D1-7-1</w:t>
        </w:r>
        <w:r w:rsidR="00F12533">
          <w:rPr>
            <w:rStyle w:val="Hyperlink"/>
            <w:rFonts w:cs="Arial"/>
            <w:szCs w:val="24"/>
          </w:rPr>
          <w:t> :</w:t>
        </w:r>
        <w:r w:rsidR="008615BE" w:rsidRPr="001738C4">
          <w:rPr>
            <w:rStyle w:val="Hyperlink"/>
            <w:rFonts w:cs="Arial"/>
            <w:szCs w:val="24"/>
          </w:rPr>
          <w:t xml:space="preserve"> Dépôt de garantie pour effectuer des transactions en douane</w:t>
        </w:r>
      </w:hyperlink>
      <w:r w:rsidR="008615BE" w:rsidRPr="001738C4">
        <w:rPr>
          <w:rFonts w:cs="Arial"/>
          <w:szCs w:val="24"/>
        </w:rPr>
        <w:t xml:space="preserve"> explique les politiques et procédures relatives au dépôt d’une garantie financière pour les transactions en douane de l’ASFC. </w:t>
      </w:r>
    </w:p>
    <w:p w14:paraId="3B5C5CC8" w14:textId="77777777" w:rsidR="001738C4" w:rsidRDefault="008615BE" w:rsidP="001738C4">
      <w:pPr>
        <w:pStyle w:val="ListParagraph"/>
        <w:numPr>
          <w:ilvl w:val="0"/>
          <w:numId w:val="3"/>
        </w:numPr>
        <w:contextualSpacing w:val="0"/>
        <w:rPr>
          <w:rFonts w:cs="Arial"/>
          <w:szCs w:val="24"/>
        </w:rPr>
      </w:pPr>
      <w:r w:rsidRPr="001738C4">
        <w:rPr>
          <w:rFonts w:cs="Arial"/>
          <w:szCs w:val="24"/>
        </w:rPr>
        <w:t xml:space="preserve">La garantie financière peut être déposée dans la GCRA par l’une des trois méthodes suivantes : </w:t>
      </w:r>
    </w:p>
    <w:p w14:paraId="60943598" w14:textId="0822DC87" w:rsidR="001738C4" w:rsidRDefault="008615BE" w:rsidP="001738C4">
      <w:pPr>
        <w:pStyle w:val="ListParagraph"/>
        <w:numPr>
          <w:ilvl w:val="1"/>
          <w:numId w:val="3"/>
        </w:numPr>
        <w:contextualSpacing w:val="0"/>
        <w:rPr>
          <w:rFonts w:cs="Arial"/>
          <w:szCs w:val="24"/>
        </w:rPr>
      </w:pPr>
      <w:r w:rsidRPr="001738C4">
        <w:rPr>
          <w:rFonts w:cs="Arial"/>
          <w:szCs w:val="24"/>
        </w:rPr>
        <w:t xml:space="preserve">le demandeur soumet un cautionnement autre qu’en espèces dans le </w:t>
      </w:r>
      <w:r w:rsidR="00C50BCF">
        <w:rPr>
          <w:rFonts w:cs="Arial"/>
        </w:rPr>
        <w:t>PCG</w:t>
      </w:r>
      <w:r w:rsidR="003D2510">
        <w:rPr>
          <w:rFonts w:cs="Arial"/>
        </w:rPr>
        <w:t>,</w:t>
      </w:r>
      <w:r w:rsidR="00C50BCF">
        <w:rPr>
          <w:rFonts w:cs="Arial"/>
          <w:szCs w:val="24"/>
        </w:rPr>
        <w:t xml:space="preserve"> </w:t>
      </w:r>
      <w:r w:rsidRPr="001738C4">
        <w:rPr>
          <w:rFonts w:cs="Arial"/>
          <w:szCs w:val="24"/>
        </w:rPr>
        <w:t xml:space="preserve">et son fournisseur de cautionnement l’accepte; </w:t>
      </w:r>
    </w:p>
    <w:p w14:paraId="28286136" w14:textId="4AC3BE40" w:rsidR="001738C4" w:rsidRDefault="008615BE" w:rsidP="001738C4">
      <w:pPr>
        <w:pStyle w:val="ListParagraph"/>
        <w:numPr>
          <w:ilvl w:val="1"/>
          <w:numId w:val="3"/>
        </w:numPr>
        <w:contextualSpacing w:val="0"/>
        <w:rPr>
          <w:rFonts w:cs="Arial"/>
          <w:szCs w:val="24"/>
        </w:rPr>
      </w:pPr>
      <w:r w:rsidRPr="001738C4">
        <w:rPr>
          <w:rFonts w:cs="Arial"/>
          <w:szCs w:val="24"/>
        </w:rPr>
        <w:t xml:space="preserve">le demandeur dépose un paiement en espèces dans le </w:t>
      </w:r>
      <w:r w:rsidR="00C50BCF">
        <w:rPr>
          <w:rFonts w:cs="Arial"/>
        </w:rPr>
        <w:t>PCG</w:t>
      </w:r>
      <w:r w:rsidR="00C50BCF" w:rsidRPr="001738C4" w:rsidDel="00C50BCF">
        <w:rPr>
          <w:rFonts w:cs="Arial"/>
          <w:szCs w:val="24"/>
        </w:rPr>
        <w:t xml:space="preserve"> </w:t>
      </w:r>
      <w:r w:rsidRPr="001738C4">
        <w:rPr>
          <w:rFonts w:cs="Arial"/>
          <w:szCs w:val="24"/>
        </w:rPr>
        <w:t xml:space="preserve">(« cautionnement en espèces »); </w:t>
      </w:r>
    </w:p>
    <w:p w14:paraId="04912CED" w14:textId="13594CFA" w:rsidR="008615BE" w:rsidRPr="001738C4" w:rsidRDefault="008615BE" w:rsidP="001738C4">
      <w:pPr>
        <w:pStyle w:val="ListParagraph"/>
        <w:numPr>
          <w:ilvl w:val="1"/>
          <w:numId w:val="3"/>
        </w:numPr>
        <w:contextualSpacing w:val="0"/>
        <w:rPr>
          <w:rFonts w:cs="Arial"/>
          <w:szCs w:val="24"/>
        </w:rPr>
      </w:pPr>
      <w:r w:rsidRPr="001738C4">
        <w:rPr>
          <w:rFonts w:cs="Arial"/>
          <w:szCs w:val="24"/>
        </w:rPr>
        <w:t>le fournisseur de cautionnement du demandeur envoie le cautionnement autre qu’en espèces par l’intermédiaire d’une interface de programmation d’applications (API) pour le compte du demandeur</w:t>
      </w:r>
      <w:r w:rsidR="00C1542D">
        <w:rPr>
          <w:rFonts w:cs="Arial"/>
          <w:szCs w:val="24"/>
        </w:rPr>
        <w:t>,</w:t>
      </w:r>
      <w:r w:rsidRPr="001738C4">
        <w:rPr>
          <w:rFonts w:cs="Arial"/>
          <w:szCs w:val="24"/>
        </w:rPr>
        <w:t xml:space="preserve"> et le cautionnement est automatiquement accepté dans la GCRA. </w:t>
      </w:r>
    </w:p>
    <w:p w14:paraId="48FCDCED" w14:textId="156BD434" w:rsidR="001738C4" w:rsidRDefault="00604A3C" w:rsidP="001738C4">
      <w:pPr>
        <w:spacing w:line="345" w:lineRule="exact"/>
        <w:rPr>
          <w:rFonts w:ascii="Arial" w:hAnsi="Arial" w:cs="Arial"/>
          <w:sz w:val="24"/>
          <w:szCs w:val="24"/>
          <w:lang w:val="fr-CA"/>
        </w:rPr>
      </w:pPr>
      <w:r>
        <w:rPr>
          <w:rFonts w:ascii="Arial" w:hAnsi="Arial" w:cs="Arial"/>
          <w:sz w:val="24"/>
          <w:szCs w:val="24"/>
          <w:lang w:val="fr-CA"/>
        </w:rPr>
        <w:t>*</w:t>
      </w:r>
      <w:r w:rsidR="00C1542D">
        <w:rPr>
          <w:rFonts w:ascii="Arial" w:hAnsi="Arial" w:cs="Arial"/>
          <w:sz w:val="24"/>
          <w:szCs w:val="24"/>
          <w:lang w:val="fr-CA"/>
        </w:rPr>
        <w:t> </w:t>
      </w:r>
      <w:r w:rsidR="008615BE" w:rsidRPr="008615BE">
        <w:rPr>
          <w:rFonts w:ascii="Arial" w:hAnsi="Arial" w:cs="Arial"/>
          <w:sz w:val="24"/>
          <w:szCs w:val="24"/>
          <w:lang w:val="fr-CA"/>
        </w:rPr>
        <w:t>Pour obtenir de plus amples renseignements sur les garanties financières dans la GCRA, consulte</w:t>
      </w:r>
      <w:r w:rsidR="00B676B4">
        <w:rPr>
          <w:rFonts w:ascii="Arial" w:hAnsi="Arial" w:cs="Arial"/>
          <w:sz w:val="24"/>
          <w:szCs w:val="24"/>
          <w:lang w:val="fr-CA"/>
        </w:rPr>
        <w:t>r</w:t>
      </w:r>
      <w:r w:rsidR="008615BE" w:rsidRPr="008615BE">
        <w:rPr>
          <w:rFonts w:ascii="Arial" w:hAnsi="Arial" w:cs="Arial"/>
          <w:sz w:val="24"/>
          <w:szCs w:val="24"/>
          <w:lang w:val="fr-CA"/>
        </w:rPr>
        <w:t xml:space="preserve"> le </w:t>
      </w:r>
      <w:r w:rsidR="007C572E">
        <w:rPr>
          <w:rFonts w:ascii="Arial" w:hAnsi="Arial" w:cs="Arial"/>
          <w:sz w:val="24"/>
          <w:szCs w:val="24"/>
          <w:lang w:val="fr-CA"/>
        </w:rPr>
        <w:t>G</w:t>
      </w:r>
      <w:r w:rsidR="008615BE" w:rsidRPr="008615BE">
        <w:rPr>
          <w:rFonts w:ascii="Arial" w:hAnsi="Arial" w:cs="Arial"/>
          <w:sz w:val="24"/>
          <w:szCs w:val="24"/>
          <w:lang w:val="fr-CA"/>
        </w:rPr>
        <w:t>uide</w:t>
      </w:r>
      <w:r w:rsidR="00F80384">
        <w:rPr>
          <w:rFonts w:ascii="Arial" w:hAnsi="Arial" w:cs="Arial"/>
          <w:sz w:val="24"/>
          <w:szCs w:val="24"/>
          <w:lang w:val="fr-CA"/>
        </w:rPr>
        <w:t xml:space="preserve"> de l’utilisateur – </w:t>
      </w:r>
      <w:r w:rsidR="007C572E">
        <w:rPr>
          <w:rFonts w:ascii="Arial" w:hAnsi="Arial" w:cs="Arial"/>
          <w:sz w:val="24"/>
          <w:szCs w:val="24"/>
          <w:lang w:val="fr-CA"/>
        </w:rPr>
        <w:t>D</w:t>
      </w:r>
      <w:r w:rsidR="00F80384">
        <w:rPr>
          <w:rFonts w:ascii="Arial" w:hAnsi="Arial" w:cs="Arial"/>
          <w:sz w:val="24"/>
          <w:szCs w:val="24"/>
          <w:lang w:val="fr-CA"/>
        </w:rPr>
        <w:t>époser des cautionnements de garantie financière et de l’argent comptant pour d’autres programmes cautionnés</w:t>
      </w:r>
      <w:r w:rsidR="0035366F">
        <w:rPr>
          <w:rFonts w:ascii="Arial" w:hAnsi="Arial" w:cs="Arial"/>
          <w:sz w:val="24"/>
          <w:szCs w:val="24"/>
          <w:lang w:val="fr-CA"/>
        </w:rPr>
        <w:t xml:space="preserve">, qui </w:t>
      </w:r>
      <w:r w:rsidR="007C572E">
        <w:rPr>
          <w:rFonts w:ascii="Arial" w:hAnsi="Arial" w:cs="Arial"/>
          <w:sz w:val="24"/>
          <w:szCs w:val="24"/>
          <w:lang w:val="fr-CA"/>
        </w:rPr>
        <w:t>se trouve</w:t>
      </w:r>
      <w:r w:rsidR="0035366F">
        <w:rPr>
          <w:rFonts w:ascii="Arial" w:hAnsi="Arial" w:cs="Arial"/>
          <w:sz w:val="24"/>
          <w:szCs w:val="24"/>
          <w:lang w:val="fr-CA"/>
        </w:rPr>
        <w:t xml:space="preserve"> </w:t>
      </w:r>
      <w:r w:rsidR="005023FE">
        <w:rPr>
          <w:rFonts w:ascii="Arial" w:hAnsi="Arial" w:cs="Arial"/>
          <w:sz w:val="24"/>
          <w:szCs w:val="24"/>
          <w:lang w:val="fr-CA"/>
        </w:rPr>
        <w:t>dans</w:t>
      </w:r>
      <w:r w:rsidR="0035366F">
        <w:rPr>
          <w:rFonts w:ascii="Arial" w:hAnsi="Arial" w:cs="Arial"/>
          <w:sz w:val="24"/>
          <w:szCs w:val="24"/>
          <w:lang w:val="fr-CA"/>
        </w:rPr>
        <w:t xml:space="preserve"> la section </w:t>
      </w:r>
      <w:r w:rsidR="005023FE">
        <w:rPr>
          <w:rFonts w:ascii="Arial" w:hAnsi="Arial" w:cs="Arial"/>
          <w:sz w:val="24"/>
          <w:szCs w:val="24"/>
          <w:lang w:val="fr-CA"/>
        </w:rPr>
        <w:t>G</w:t>
      </w:r>
      <w:r w:rsidR="0035366F">
        <w:rPr>
          <w:rFonts w:ascii="Arial" w:hAnsi="Arial" w:cs="Arial"/>
          <w:sz w:val="24"/>
          <w:szCs w:val="24"/>
          <w:lang w:val="fr-CA"/>
        </w:rPr>
        <w:t>uides de l’utilisateur</w:t>
      </w:r>
      <w:r w:rsidR="008615BE" w:rsidRPr="008615BE">
        <w:rPr>
          <w:rFonts w:ascii="Arial" w:hAnsi="Arial" w:cs="Arial"/>
          <w:sz w:val="24"/>
          <w:szCs w:val="24"/>
          <w:lang w:val="fr-CA"/>
        </w:rPr>
        <w:t xml:space="preserve"> sur la </w:t>
      </w:r>
      <w:hyperlink r:id="rId18" w:history="1">
        <w:r w:rsidR="008615BE" w:rsidRPr="00E1067E">
          <w:rPr>
            <w:rStyle w:val="Hyperlink"/>
            <w:rFonts w:ascii="Arial" w:hAnsi="Arial" w:cs="Arial"/>
            <w:sz w:val="24"/>
            <w:szCs w:val="24"/>
            <w:lang w:val="fr-CA"/>
          </w:rPr>
          <w:t xml:space="preserve">page Web </w:t>
        </w:r>
        <w:r w:rsidR="0035366F" w:rsidRPr="00E1067E">
          <w:rPr>
            <w:rStyle w:val="Hyperlink"/>
            <w:rFonts w:ascii="Arial" w:hAnsi="Arial" w:cs="Arial"/>
            <w:sz w:val="24"/>
            <w:szCs w:val="24"/>
            <w:lang w:val="fr-CA"/>
          </w:rPr>
          <w:t xml:space="preserve">du portail client de la </w:t>
        </w:r>
        <w:r w:rsidR="008615BE" w:rsidRPr="00E1067E">
          <w:rPr>
            <w:rStyle w:val="Hyperlink"/>
            <w:rFonts w:ascii="Arial" w:hAnsi="Arial" w:cs="Arial"/>
            <w:sz w:val="24"/>
            <w:szCs w:val="24"/>
            <w:lang w:val="fr-CA"/>
          </w:rPr>
          <w:t>GCRA</w:t>
        </w:r>
      </w:hyperlink>
      <w:r w:rsidR="008615BE" w:rsidRPr="008615BE">
        <w:rPr>
          <w:rFonts w:ascii="Arial" w:hAnsi="Arial" w:cs="Arial"/>
          <w:sz w:val="24"/>
          <w:szCs w:val="24"/>
          <w:lang w:val="fr-CA"/>
        </w:rPr>
        <w:t>.</w:t>
      </w:r>
    </w:p>
    <w:p w14:paraId="39DE305F" w14:textId="64B896E5" w:rsidR="008615BE" w:rsidRPr="001738C4" w:rsidRDefault="003A2B96" w:rsidP="001738C4">
      <w:pPr>
        <w:pStyle w:val="ListParagraph"/>
        <w:numPr>
          <w:ilvl w:val="0"/>
          <w:numId w:val="3"/>
        </w:numPr>
        <w:contextualSpacing w:val="0"/>
        <w:rPr>
          <w:rFonts w:cs="Arial"/>
          <w:szCs w:val="24"/>
        </w:rPr>
      </w:pPr>
      <w:r>
        <w:rPr>
          <w:rFonts w:cs="Arial"/>
          <w:szCs w:val="24"/>
        </w:rPr>
        <w:t xml:space="preserve">Le </w:t>
      </w:r>
      <w:r w:rsidR="008615BE" w:rsidRPr="001738C4">
        <w:rPr>
          <w:rFonts w:cs="Arial"/>
          <w:szCs w:val="24"/>
        </w:rPr>
        <w:t>demandeur peut obtenir un cautionnement pour tous ses RM faisant partie du Programme des entrepôts d’attente ou un cautionnement pour chaque RM. Tous les cautionnements reçus par l’ASFC doivent indiquer le RM attribué à l’entrepôt d’attente.</w:t>
      </w:r>
    </w:p>
    <w:p w14:paraId="1BF27412" w14:textId="1881BE63" w:rsidR="008615BE" w:rsidRPr="008615BE" w:rsidRDefault="008615BE" w:rsidP="001738C4">
      <w:pPr>
        <w:pStyle w:val="Heading3"/>
      </w:pPr>
      <w:bookmarkStart w:id="19" w:name="_Garantie_financière_-_1"/>
      <w:bookmarkEnd w:id="19"/>
      <w:r w:rsidRPr="008615BE">
        <w:t xml:space="preserve">Garantie financière </w:t>
      </w:r>
      <w:r w:rsidR="00571F83">
        <w:t>–</w:t>
      </w:r>
      <w:r w:rsidRPr="008615BE">
        <w:t xml:space="preserve"> </w:t>
      </w:r>
      <w:r w:rsidR="00B843C0">
        <w:t>m</w:t>
      </w:r>
      <w:r w:rsidRPr="008615BE">
        <w:t>odification</w:t>
      </w:r>
    </w:p>
    <w:p w14:paraId="6DFB809F" w14:textId="3C300626" w:rsidR="001738C4" w:rsidRDefault="008615BE" w:rsidP="001738C4">
      <w:pPr>
        <w:pStyle w:val="ListParagraph"/>
        <w:numPr>
          <w:ilvl w:val="0"/>
          <w:numId w:val="3"/>
        </w:numPr>
        <w:contextualSpacing w:val="0"/>
        <w:rPr>
          <w:rFonts w:cs="Arial"/>
          <w:szCs w:val="24"/>
        </w:rPr>
      </w:pPr>
      <w:r w:rsidRPr="001738C4">
        <w:rPr>
          <w:rFonts w:cs="Arial"/>
          <w:szCs w:val="24"/>
        </w:rPr>
        <w:t>L’exploitant examine la garantie financière chaque année et soumet un formulaire d</w:t>
      </w:r>
      <w:r w:rsidR="000F333F">
        <w:rPr>
          <w:rFonts w:cs="Arial"/>
          <w:szCs w:val="24"/>
        </w:rPr>
        <w:t>’inscription d’un</w:t>
      </w:r>
      <w:r w:rsidRPr="001738C4">
        <w:rPr>
          <w:rFonts w:cs="Arial"/>
          <w:szCs w:val="24"/>
        </w:rPr>
        <w:t xml:space="preserve"> </w:t>
      </w:r>
      <w:r w:rsidR="00F47C84">
        <w:rPr>
          <w:rFonts w:cs="Arial"/>
          <w:szCs w:val="24"/>
        </w:rPr>
        <w:t xml:space="preserve">entrepôt </w:t>
      </w:r>
      <w:r w:rsidRPr="001738C4">
        <w:rPr>
          <w:rFonts w:cs="Arial"/>
          <w:szCs w:val="24"/>
        </w:rPr>
        <w:t xml:space="preserve">d’attente </w:t>
      </w:r>
      <w:r w:rsidR="000F333F">
        <w:rPr>
          <w:rFonts w:cs="Arial"/>
          <w:szCs w:val="24"/>
        </w:rPr>
        <w:t>des douanes (</w:t>
      </w:r>
      <w:r w:rsidR="00F47C84">
        <w:rPr>
          <w:rFonts w:cs="Arial"/>
          <w:szCs w:val="24"/>
        </w:rPr>
        <w:t>BSF897</w:t>
      </w:r>
      <w:r w:rsidR="000F333F">
        <w:rPr>
          <w:rFonts w:cs="Arial"/>
          <w:szCs w:val="24"/>
        </w:rPr>
        <w:t>)</w:t>
      </w:r>
      <w:r w:rsidR="00F47C84">
        <w:rPr>
          <w:rFonts w:cs="Arial"/>
          <w:szCs w:val="24"/>
        </w:rPr>
        <w:t xml:space="preserve"> </w:t>
      </w:r>
      <w:r w:rsidRPr="001738C4">
        <w:rPr>
          <w:rFonts w:cs="Arial"/>
          <w:szCs w:val="24"/>
        </w:rPr>
        <w:t xml:space="preserve">modifié indiquant le volume des marchandises </w:t>
      </w:r>
      <w:r w:rsidR="00B0461A">
        <w:rPr>
          <w:rFonts w:cs="Arial"/>
          <w:szCs w:val="24"/>
        </w:rPr>
        <w:t>de</w:t>
      </w:r>
      <w:r w:rsidRPr="001738C4">
        <w:rPr>
          <w:rFonts w:cs="Arial"/>
          <w:szCs w:val="24"/>
        </w:rPr>
        <w:t xml:space="preserve"> l’année précédente. La garantie financière doit être mise à jour </w:t>
      </w:r>
      <w:r w:rsidRPr="001738C4">
        <w:rPr>
          <w:rFonts w:cs="Arial"/>
          <w:szCs w:val="24"/>
        </w:rPr>
        <w:lastRenderedPageBreak/>
        <w:t xml:space="preserve">au besoin. </w:t>
      </w:r>
      <w:r w:rsidR="00C07DAB">
        <w:rPr>
          <w:rFonts w:cs="Arial"/>
          <w:szCs w:val="24"/>
        </w:rPr>
        <w:t>L’</w:t>
      </w:r>
      <w:r w:rsidR="004A5264">
        <w:rPr>
          <w:rFonts w:cs="Arial"/>
          <w:szCs w:val="24"/>
        </w:rPr>
        <w:t xml:space="preserve">examen </w:t>
      </w:r>
      <w:r w:rsidR="00087429">
        <w:rPr>
          <w:rFonts w:cs="Arial"/>
          <w:szCs w:val="24"/>
        </w:rPr>
        <w:t>annuel</w:t>
      </w:r>
      <w:r w:rsidR="00C07DAB">
        <w:rPr>
          <w:rFonts w:cs="Arial"/>
          <w:szCs w:val="24"/>
        </w:rPr>
        <w:t xml:space="preserve"> de la garantie financière</w:t>
      </w:r>
      <w:r w:rsidRPr="001738C4">
        <w:rPr>
          <w:rFonts w:cs="Arial"/>
          <w:szCs w:val="24"/>
        </w:rPr>
        <w:t xml:space="preserve"> doit être transmis dans le </w:t>
      </w:r>
      <w:r w:rsidR="00C07DAB">
        <w:rPr>
          <w:rFonts w:cs="Arial"/>
          <w:szCs w:val="24"/>
        </w:rPr>
        <w:t>p</w:t>
      </w:r>
      <w:r w:rsidRPr="001738C4">
        <w:rPr>
          <w:rFonts w:cs="Arial"/>
          <w:szCs w:val="24"/>
        </w:rPr>
        <w:t xml:space="preserve">ortail client de la GCRA pour </w:t>
      </w:r>
      <w:r w:rsidR="004C1FE9">
        <w:rPr>
          <w:rFonts w:cs="Arial"/>
          <w:szCs w:val="24"/>
        </w:rPr>
        <w:t xml:space="preserve">que </w:t>
      </w:r>
      <w:r w:rsidRPr="001738C4">
        <w:rPr>
          <w:rFonts w:cs="Arial"/>
          <w:szCs w:val="24"/>
        </w:rPr>
        <w:t>l’ASFC</w:t>
      </w:r>
      <w:r w:rsidR="004C1FE9">
        <w:rPr>
          <w:rFonts w:cs="Arial"/>
          <w:szCs w:val="24"/>
        </w:rPr>
        <w:t xml:space="preserve"> puisse l’évaluer</w:t>
      </w:r>
      <w:r w:rsidRPr="001738C4">
        <w:rPr>
          <w:rFonts w:cs="Arial"/>
          <w:szCs w:val="24"/>
        </w:rPr>
        <w:t xml:space="preserve">. </w:t>
      </w:r>
    </w:p>
    <w:p w14:paraId="4A446660" w14:textId="77777777" w:rsidR="001738C4" w:rsidRDefault="008615BE" w:rsidP="001738C4">
      <w:pPr>
        <w:pStyle w:val="ListParagraph"/>
        <w:numPr>
          <w:ilvl w:val="0"/>
          <w:numId w:val="3"/>
        </w:numPr>
        <w:contextualSpacing w:val="0"/>
        <w:rPr>
          <w:rFonts w:cs="Arial"/>
          <w:szCs w:val="24"/>
        </w:rPr>
      </w:pPr>
      <w:r w:rsidRPr="001738C4">
        <w:rPr>
          <w:rFonts w:cs="Arial"/>
          <w:szCs w:val="24"/>
        </w:rPr>
        <w:t>Le non-respect des exigences relatives aux garanties financières peut entraîner la suspension ou l’annulation de l’agrément.</w:t>
      </w:r>
    </w:p>
    <w:p w14:paraId="33503171" w14:textId="1968A6D7" w:rsidR="001738C4" w:rsidRDefault="008615BE" w:rsidP="001738C4">
      <w:pPr>
        <w:pStyle w:val="ListParagraph"/>
        <w:numPr>
          <w:ilvl w:val="0"/>
          <w:numId w:val="3"/>
        </w:numPr>
        <w:contextualSpacing w:val="0"/>
        <w:rPr>
          <w:rFonts w:cs="Arial"/>
          <w:szCs w:val="24"/>
        </w:rPr>
      </w:pPr>
      <w:r w:rsidRPr="001738C4">
        <w:rPr>
          <w:rFonts w:cs="Arial"/>
          <w:szCs w:val="24"/>
        </w:rPr>
        <w:t xml:space="preserve">Si </w:t>
      </w:r>
      <w:r w:rsidR="00C4682A">
        <w:rPr>
          <w:rFonts w:cs="Arial"/>
          <w:szCs w:val="24"/>
        </w:rPr>
        <w:t>l’</w:t>
      </w:r>
      <w:r w:rsidRPr="001738C4">
        <w:rPr>
          <w:rFonts w:cs="Arial"/>
          <w:szCs w:val="24"/>
        </w:rPr>
        <w:t xml:space="preserve">agrément est annulé, l’ASFC demandera à la société de cautionnement d’annuler tout cautionnement déposé au nom de l’exploitant. Les exploitants doivent surveiller les avis transmis par l’ASFC dans le </w:t>
      </w:r>
      <w:r w:rsidR="00C50BCF">
        <w:rPr>
          <w:rFonts w:cs="Arial"/>
        </w:rPr>
        <w:t>PCG</w:t>
      </w:r>
      <w:r w:rsidR="00C50BCF" w:rsidRPr="001738C4" w:rsidDel="00C50BCF">
        <w:rPr>
          <w:rFonts w:cs="Arial"/>
          <w:szCs w:val="24"/>
        </w:rPr>
        <w:t xml:space="preserve"> </w:t>
      </w:r>
      <w:r w:rsidRPr="001738C4">
        <w:rPr>
          <w:rFonts w:cs="Arial"/>
          <w:szCs w:val="24"/>
        </w:rPr>
        <w:t xml:space="preserve">concernant le statut du cautionnement. </w:t>
      </w:r>
    </w:p>
    <w:p w14:paraId="25D7402C" w14:textId="00F217CB" w:rsidR="001738C4" w:rsidRDefault="008615BE" w:rsidP="001738C4">
      <w:pPr>
        <w:pStyle w:val="ListParagraph"/>
        <w:numPr>
          <w:ilvl w:val="0"/>
          <w:numId w:val="3"/>
        </w:numPr>
        <w:contextualSpacing w:val="0"/>
        <w:rPr>
          <w:rFonts w:cs="Arial"/>
          <w:szCs w:val="24"/>
        </w:rPr>
      </w:pPr>
      <w:r w:rsidRPr="001738C4">
        <w:rPr>
          <w:rFonts w:cs="Arial"/>
          <w:szCs w:val="24"/>
        </w:rPr>
        <w:t>La garantie financière ne d</w:t>
      </w:r>
      <w:r w:rsidR="00E419C5">
        <w:rPr>
          <w:rFonts w:cs="Arial"/>
          <w:szCs w:val="24"/>
        </w:rPr>
        <w:t>oit</w:t>
      </w:r>
      <w:r w:rsidRPr="001738C4">
        <w:rPr>
          <w:rFonts w:cs="Arial"/>
          <w:szCs w:val="24"/>
        </w:rPr>
        <w:t xml:space="preserve"> jamais </w:t>
      </w:r>
      <w:r w:rsidR="007332A0">
        <w:rPr>
          <w:rFonts w:cs="Arial"/>
          <w:szCs w:val="24"/>
        </w:rPr>
        <w:t xml:space="preserve">devenir </w:t>
      </w:r>
      <w:r w:rsidRPr="001738C4">
        <w:rPr>
          <w:rFonts w:cs="Arial"/>
          <w:szCs w:val="24"/>
        </w:rPr>
        <w:t>caduque. S</w:t>
      </w:r>
      <w:r w:rsidR="007332A0">
        <w:rPr>
          <w:rFonts w:cs="Arial"/>
          <w:szCs w:val="24"/>
        </w:rPr>
        <w:t>i l’exploitant</w:t>
      </w:r>
      <w:r w:rsidRPr="001738C4">
        <w:rPr>
          <w:rFonts w:cs="Arial"/>
          <w:szCs w:val="24"/>
        </w:rPr>
        <w:t xml:space="preserve"> ne </w:t>
      </w:r>
      <w:r w:rsidR="00F12533" w:rsidRPr="001738C4">
        <w:rPr>
          <w:rFonts w:cs="Arial"/>
          <w:szCs w:val="24"/>
        </w:rPr>
        <w:t>fournit</w:t>
      </w:r>
      <w:r w:rsidRPr="001738C4">
        <w:rPr>
          <w:rFonts w:cs="Arial"/>
          <w:szCs w:val="24"/>
        </w:rPr>
        <w:t xml:space="preserve"> pas de nouvelle garantie à l’ASFC avant la date d’expiration de </w:t>
      </w:r>
      <w:r w:rsidR="00210144">
        <w:rPr>
          <w:rFonts w:cs="Arial"/>
          <w:szCs w:val="24"/>
        </w:rPr>
        <w:t>s</w:t>
      </w:r>
      <w:r w:rsidR="009B3FE8">
        <w:rPr>
          <w:rFonts w:cs="Arial"/>
          <w:szCs w:val="24"/>
        </w:rPr>
        <w:t>a</w:t>
      </w:r>
      <w:r w:rsidRPr="001738C4">
        <w:rPr>
          <w:rFonts w:cs="Arial"/>
          <w:szCs w:val="24"/>
        </w:rPr>
        <w:t xml:space="preserve"> </w:t>
      </w:r>
      <w:r w:rsidR="009B3FE8">
        <w:rPr>
          <w:rFonts w:cs="Arial"/>
          <w:szCs w:val="24"/>
        </w:rPr>
        <w:t>garantie actuelle</w:t>
      </w:r>
      <w:r w:rsidRPr="001738C4">
        <w:rPr>
          <w:rFonts w:cs="Arial"/>
          <w:szCs w:val="24"/>
        </w:rPr>
        <w:t xml:space="preserve">, l’Agence peut suspendre </w:t>
      </w:r>
      <w:r w:rsidR="0047517F">
        <w:rPr>
          <w:rFonts w:cs="Arial"/>
          <w:szCs w:val="24"/>
        </w:rPr>
        <w:t>son</w:t>
      </w:r>
      <w:r w:rsidRPr="001738C4">
        <w:rPr>
          <w:rFonts w:cs="Arial"/>
          <w:szCs w:val="24"/>
        </w:rPr>
        <w:t xml:space="preserve"> agrément après cette date. </w:t>
      </w:r>
    </w:p>
    <w:p w14:paraId="0140A928" w14:textId="6287653D" w:rsidR="008615BE" w:rsidRPr="001738C4" w:rsidRDefault="008615BE" w:rsidP="001738C4">
      <w:pPr>
        <w:pStyle w:val="ListParagraph"/>
        <w:numPr>
          <w:ilvl w:val="0"/>
          <w:numId w:val="3"/>
        </w:numPr>
        <w:contextualSpacing w:val="0"/>
        <w:rPr>
          <w:rFonts w:cs="Arial"/>
          <w:szCs w:val="24"/>
        </w:rPr>
      </w:pPr>
      <w:r w:rsidRPr="001738C4">
        <w:rPr>
          <w:rFonts w:cs="Arial"/>
          <w:szCs w:val="24"/>
        </w:rPr>
        <w:t xml:space="preserve">Toute modification de la garantie financière doit être effectuée dans le </w:t>
      </w:r>
      <w:r w:rsidR="00C50BCF">
        <w:rPr>
          <w:rFonts w:cs="Arial"/>
        </w:rPr>
        <w:t>PCG</w:t>
      </w:r>
      <w:r w:rsidRPr="001738C4">
        <w:rPr>
          <w:rFonts w:cs="Arial"/>
          <w:szCs w:val="24"/>
        </w:rPr>
        <w:t>. Consulte</w:t>
      </w:r>
      <w:r w:rsidR="009B3FE8">
        <w:rPr>
          <w:rFonts w:cs="Arial"/>
          <w:szCs w:val="24"/>
        </w:rPr>
        <w:t>r</w:t>
      </w:r>
      <w:r w:rsidRPr="001738C4">
        <w:rPr>
          <w:rFonts w:cs="Arial"/>
          <w:szCs w:val="24"/>
        </w:rPr>
        <w:t xml:space="preserve"> le Guide de la GCRA pour obtenir des instructions relatives à la modification de la garantie financière.</w:t>
      </w:r>
    </w:p>
    <w:p w14:paraId="28A62159" w14:textId="77777777" w:rsidR="008615BE" w:rsidRPr="008615BE" w:rsidRDefault="008615BE" w:rsidP="001738C4">
      <w:pPr>
        <w:pStyle w:val="Heading3"/>
      </w:pPr>
      <w:bookmarkStart w:id="20" w:name="_bookmark7"/>
      <w:bookmarkStart w:id="21" w:name="ApprovalofApplication"/>
      <w:bookmarkStart w:id="22" w:name="_Approbation_de_la"/>
      <w:bookmarkEnd w:id="20"/>
      <w:bookmarkEnd w:id="21"/>
      <w:bookmarkEnd w:id="22"/>
      <w:r w:rsidRPr="008615BE">
        <w:t>Approbation de la demande</w:t>
      </w:r>
    </w:p>
    <w:p w14:paraId="085A278E" w14:textId="43978CC7" w:rsidR="008615BE" w:rsidRPr="001738C4" w:rsidRDefault="008615BE" w:rsidP="001738C4">
      <w:pPr>
        <w:pStyle w:val="ListParagraph"/>
        <w:numPr>
          <w:ilvl w:val="0"/>
          <w:numId w:val="3"/>
        </w:numPr>
        <w:rPr>
          <w:rFonts w:cs="Arial"/>
          <w:szCs w:val="24"/>
        </w:rPr>
      </w:pPr>
      <w:r w:rsidRPr="001738C4">
        <w:rPr>
          <w:rFonts w:cs="Arial"/>
          <w:szCs w:val="24"/>
        </w:rPr>
        <w:t>Si l’ASFC approuve une demande d’exploitation d’un entrepôt d’attente, elle envoie l’agrément, le numéro d’agrément, le code de sous</w:t>
      </w:r>
      <w:r w:rsidRPr="001738C4">
        <w:rPr>
          <w:rFonts w:cs="Arial"/>
          <w:szCs w:val="24"/>
        </w:rPr>
        <w:noBreakHyphen/>
        <w:t xml:space="preserve">emplacement et le </w:t>
      </w:r>
      <w:r w:rsidR="00411BB3">
        <w:rPr>
          <w:rFonts w:cs="Arial"/>
          <w:szCs w:val="24"/>
        </w:rPr>
        <w:t>NE</w:t>
      </w:r>
      <w:r w:rsidRPr="001738C4">
        <w:rPr>
          <w:rFonts w:cs="Arial"/>
          <w:szCs w:val="24"/>
        </w:rPr>
        <w:t xml:space="preserve">15 au demandeur dans le </w:t>
      </w:r>
      <w:r w:rsidR="00C50BCF">
        <w:rPr>
          <w:rFonts w:cs="Arial"/>
        </w:rPr>
        <w:t>PCG</w:t>
      </w:r>
      <w:r w:rsidRPr="001738C4">
        <w:rPr>
          <w:rFonts w:cs="Arial"/>
          <w:szCs w:val="24"/>
        </w:rPr>
        <w:t xml:space="preserve">. </w:t>
      </w:r>
      <w:r w:rsidR="00411BB3">
        <w:rPr>
          <w:rFonts w:cs="Arial"/>
          <w:szCs w:val="24"/>
        </w:rPr>
        <w:t>L’ASFC doit recevoir</w:t>
      </w:r>
      <w:r w:rsidR="005C5E0F">
        <w:rPr>
          <w:rFonts w:cs="Arial"/>
          <w:szCs w:val="24"/>
        </w:rPr>
        <w:t xml:space="preserve"> l</w:t>
      </w:r>
      <w:r w:rsidRPr="001738C4">
        <w:rPr>
          <w:rFonts w:cs="Arial"/>
          <w:szCs w:val="24"/>
        </w:rPr>
        <w:t xml:space="preserve">a garantie financière avant </w:t>
      </w:r>
      <w:r w:rsidR="005C5E0F">
        <w:rPr>
          <w:rFonts w:cs="Arial"/>
          <w:szCs w:val="24"/>
        </w:rPr>
        <w:t>d’octroyer</w:t>
      </w:r>
      <w:r w:rsidRPr="001738C4">
        <w:rPr>
          <w:rFonts w:cs="Arial"/>
          <w:szCs w:val="24"/>
        </w:rPr>
        <w:t xml:space="preserve"> l’agrément. </w:t>
      </w:r>
    </w:p>
    <w:p w14:paraId="3AE7B6C5" w14:textId="43773DA1" w:rsidR="008615BE" w:rsidRPr="008615BE" w:rsidRDefault="001738C4" w:rsidP="001738C4">
      <w:pPr>
        <w:pStyle w:val="Heading3"/>
      </w:pPr>
      <w:bookmarkStart w:id="23" w:name="_bookmark8"/>
      <w:bookmarkStart w:id="24" w:name="AmendmentCancellationorSuspension"/>
      <w:bookmarkStart w:id="25" w:name="_bookmark9"/>
      <w:bookmarkStart w:id="26" w:name="AmendmentbyLicensee"/>
      <w:bookmarkStart w:id="27" w:name="_Demande_de_modification"/>
      <w:bookmarkEnd w:id="23"/>
      <w:bookmarkEnd w:id="24"/>
      <w:bookmarkEnd w:id="25"/>
      <w:bookmarkEnd w:id="26"/>
      <w:bookmarkEnd w:id="27"/>
      <w:r>
        <w:t>Demande de modification</w:t>
      </w:r>
      <w:r w:rsidR="008615BE" w:rsidRPr="008615BE">
        <w:t xml:space="preserve"> par l’exploitant</w:t>
      </w:r>
    </w:p>
    <w:p w14:paraId="665B7C78" w14:textId="6EC67AEA" w:rsidR="008615BE" w:rsidRPr="001738C4" w:rsidRDefault="008615BE" w:rsidP="001738C4">
      <w:pPr>
        <w:pStyle w:val="ListParagraph"/>
        <w:numPr>
          <w:ilvl w:val="0"/>
          <w:numId w:val="3"/>
        </w:numPr>
        <w:rPr>
          <w:rFonts w:cs="Arial"/>
          <w:szCs w:val="24"/>
        </w:rPr>
      </w:pPr>
      <w:r w:rsidRPr="001738C4">
        <w:rPr>
          <w:rFonts w:cs="Arial"/>
          <w:szCs w:val="24"/>
        </w:rPr>
        <w:t>L</w:t>
      </w:r>
      <w:r w:rsidR="005C5E0F">
        <w:rPr>
          <w:rFonts w:cs="Arial"/>
          <w:szCs w:val="24"/>
        </w:rPr>
        <w:t>’</w:t>
      </w:r>
      <w:r w:rsidRPr="001738C4">
        <w:rPr>
          <w:rFonts w:cs="Arial"/>
          <w:szCs w:val="24"/>
        </w:rPr>
        <w:t>exploitant doit demander la modification de</w:t>
      </w:r>
      <w:r w:rsidR="005C5E0F">
        <w:rPr>
          <w:rFonts w:cs="Arial"/>
          <w:szCs w:val="24"/>
        </w:rPr>
        <w:t xml:space="preserve"> l’</w:t>
      </w:r>
      <w:r w:rsidRPr="001738C4">
        <w:rPr>
          <w:rFonts w:cs="Arial"/>
          <w:szCs w:val="24"/>
        </w:rPr>
        <w:t>agrément à l’aide du formulaire </w:t>
      </w:r>
      <w:r w:rsidR="007322BC">
        <w:rPr>
          <w:rFonts w:cs="Arial"/>
          <w:szCs w:val="24"/>
        </w:rPr>
        <w:t>B</w:t>
      </w:r>
      <w:r w:rsidR="00154FBD">
        <w:rPr>
          <w:rFonts w:cs="Arial"/>
          <w:szCs w:val="24"/>
        </w:rPr>
        <w:t>S</w:t>
      </w:r>
      <w:r w:rsidR="007322BC">
        <w:rPr>
          <w:rFonts w:cs="Arial"/>
          <w:szCs w:val="24"/>
        </w:rPr>
        <w:t>F897</w:t>
      </w:r>
      <w:r w:rsidR="007322BC" w:rsidRPr="001738C4">
        <w:rPr>
          <w:rFonts w:cs="Arial"/>
          <w:szCs w:val="24"/>
        </w:rPr>
        <w:t xml:space="preserve"> </w:t>
      </w:r>
      <w:r w:rsidRPr="001738C4">
        <w:rPr>
          <w:rFonts w:cs="Arial"/>
          <w:szCs w:val="24"/>
        </w:rPr>
        <w:t xml:space="preserve">dans le </w:t>
      </w:r>
      <w:r w:rsidR="00450E22">
        <w:rPr>
          <w:rFonts w:cs="Arial"/>
          <w:szCs w:val="24"/>
        </w:rPr>
        <w:t>PCG</w:t>
      </w:r>
      <w:r w:rsidRPr="001738C4">
        <w:rPr>
          <w:rFonts w:cs="Arial"/>
          <w:szCs w:val="24"/>
        </w:rPr>
        <w:t xml:space="preserve">. Les demandes de modification seront traitées comme de nouvelles demandes. </w:t>
      </w:r>
      <w:r w:rsidR="00450E22">
        <w:rPr>
          <w:rFonts w:cs="Arial"/>
          <w:szCs w:val="24"/>
        </w:rPr>
        <w:t>L</w:t>
      </w:r>
      <w:r w:rsidRPr="001738C4">
        <w:rPr>
          <w:rFonts w:cs="Arial"/>
          <w:szCs w:val="24"/>
        </w:rPr>
        <w:t xml:space="preserve">’ASFC informera l’exploitant </w:t>
      </w:r>
      <w:r w:rsidR="007322BC">
        <w:rPr>
          <w:rFonts w:cs="Arial"/>
          <w:szCs w:val="24"/>
        </w:rPr>
        <w:t xml:space="preserve">de sa décision </w:t>
      </w:r>
      <w:r w:rsidRPr="001738C4">
        <w:rPr>
          <w:rFonts w:cs="Arial"/>
          <w:szCs w:val="24"/>
        </w:rPr>
        <w:t xml:space="preserve">et lui </w:t>
      </w:r>
      <w:r w:rsidR="00ED5EC7">
        <w:rPr>
          <w:rFonts w:cs="Arial"/>
          <w:szCs w:val="24"/>
        </w:rPr>
        <w:t>octroiera</w:t>
      </w:r>
      <w:r w:rsidRPr="001738C4">
        <w:rPr>
          <w:rFonts w:cs="Arial"/>
          <w:szCs w:val="24"/>
        </w:rPr>
        <w:t xml:space="preserve"> un agrément modifié</w:t>
      </w:r>
      <w:r w:rsidR="007322BC">
        <w:rPr>
          <w:rFonts w:cs="Arial"/>
          <w:szCs w:val="24"/>
        </w:rPr>
        <w:t xml:space="preserve">, </w:t>
      </w:r>
      <w:r w:rsidR="00236505">
        <w:rPr>
          <w:rFonts w:cs="Arial"/>
          <w:szCs w:val="24"/>
        </w:rPr>
        <w:t>le cas échéant</w:t>
      </w:r>
      <w:r w:rsidR="007322BC">
        <w:rPr>
          <w:rFonts w:cs="Arial"/>
          <w:szCs w:val="24"/>
        </w:rPr>
        <w:t>,</w:t>
      </w:r>
      <w:r w:rsidRPr="001738C4">
        <w:rPr>
          <w:rFonts w:cs="Arial"/>
          <w:szCs w:val="24"/>
        </w:rPr>
        <w:t xml:space="preserve"> dans le </w:t>
      </w:r>
      <w:r w:rsidR="00ED5EC7">
        <w:rPr>
          <w:rFonts w:cs="Arial"/>
          <w:szCs w:val="24"/>
        </w:rPr>
        <w:t>PCG</w:t>
      </w:r>
      <w:r w:rsidRPr="001738C4">
        <w:rPr>
          <w:rFonts w:cs="Arial"/>
          <w:szCs w:val="24"/>
        </w:rPr>
        <w:t xml:space="preserve">. </w:t>
      </w:r>
      <w:bookmarkStart w:id="28" w:name="AmendmentbyCBSA"/>
      <w:bookmarkStart w:id="29" w:name="_bookmark10"/>
      <w:bookmarkEnd w:id="28"/>
      <w:bookmarkEnd w:id="29"/>
    </w:p>
    <w:p w14:paraId="5EC2E21B" w14:textId="77777777" w:rsidR="008615BE" w:rsidRPr="008615BE" w:rsidRDefault="008615BE" w:rsidP="001738C4">
      <w:pPr>
        <w:pStyle w:val="Heading3"/>
      </w:pPr>
      <w:bookmarkStart w:id="30" w:name="_Modification_apportée_par"/>
      <w:bookmarkEnd w:id="30"/>
      <w:r w:rsidRPr="008615BE">
        <w:t>Modification apportée par l’ASFC</w:t>
      </w:r>
    </w:p>
    <w:p w14:paraId="394E5894" w14:textId="77777777" w:rsidR="001738C4" w:rsidRDefault="008615BE" w:rsidP="001738C4">
      <w:pPr>
        <w:pStyle w:val="ListParagraph"/>
        <w:numPr>
          <w:ilvl w:val="0"/>
          <w:numId w:val="3"/>
        </w:numPr>
        <w:contextualSpacing w:val="0"/>
        <w:rPr>
          <w:rFonts w:cs="Arial"/>
          <w:szCs w:val="24"/>
        </w:rPr>
      </w:pPr>
      <w:r w:rsidRPr="001738C4">
        <w:rPr>
          <w:rFonts w:cs="Arial"/>
          <w:szCs w:val="24"/>
        </w:rPr>
        <w:t>L’ASFC ne peut modifier un agrément que pour les motifs suivants :</w:t>
      </w:r>
    </w:p>
    <w:p w14:paraId="2BC4F2BB" w14:textId="77777777" w:rsidR="001738C4" w:rsidRDefault="008615BE" w:rsidP="001738C4">
      <w:pPr>
        <w:pStyle w:val="ListParagraph"/>
        <w:numPr>
          <w:ilvl w:val="1"/>
          <w:numId w:val="3"/>
        </w:numPr>
        <w:contextualSpacing w:val="0"/>
        <w:rPr>
          <w:rFonts w:cs="Arial"/>
          <w:szCs w:val="24"/>
        </w:rPr>
      </w:pPr>
      <w:r w:rsidRPr="001738C4">
        <w:rPr>
          <w:rFonts w:cs="Arial"/>
          <w:szCs w:val="24"/>
        </w:rPr>
        <w:lastRenderedPageBreak/>
        <w:t xml:space="preserve">changer une restriction prévue par l’agrément concernant les catégories de marchandises pouvant être reçues dans l’entrepôt d’attente visé par l’agrément, ou prévoir une telle restriction; </w:t>
      </w:r>
    </w:p>
    <w:p w14:paraId="2240079D" w14:textId="77777777" w:rsidR="001738C4" w:rsidRDefault="008615BE" w:rsidP="001738C4">
      <w:pPr>
        <w:pStyle w:val="ListParagraph"/>
        <w:numPr>
          <w:ilvl w:val="1"/>
          <w:numId w:val="3"/>
        </w:numPr>
        <w:contextualSpacing w:val="0"/>
        <w:rPr>
          <w:rFonts w:cs="Arial"/>
          <w:szCs w:val="24"/>
        </w:rPr>
      </w:pPr>
      <w:r w:rsidRPr="001738C4">
        <w:rPr>
          <w:rFonts w:cs="Arial"/>
          <w:szCs w:val="24"/>
        </w:rPr>
        <w:t xml:space="preserve">changer les circonstances prévues par l’agrément, dans lesquelles les marchandises peuvent être reçues dans l’entrepôt d’attente, ou prévoir de telles circonstances; </w:t>
      </w:r>
    </w:p>
    <w:p w14:paraId="34BA8A3F" w14:textId="22F962D2" w:rsidR="001738C4" w:rsidRDefault="008615BE" w:rsidP="001738C4">
      <w:pPr>
        <w:pStyle w:val="ListParagraph"/>
        <w:numPr>
          <w:ilvl w:val="1"/>
          <w:numId w:val="3"/>
        </w:numPr>
        <w:contextualSpacing w:val="0"/>
        <w:rPr>
          <w:rFonts w:cs="Arial"/>
          <w:szCs w:val="24"/>
        </w:rPr>
      </w:pPr>
      <w:r w:rsidRPr="001738C4">
        <w:rPr>
          <w:rFonts w:cs="Arial"/>
          <w:szCs w:val="24"/>
        </w:rPr>
        <w:t xml:space="preserve">changer le nom de l’exploitant dans les cas où </w:t>
      </w:r>
      <w:r w:rsidR="00161A9C">
        <w:rPr>
          <w:rFonts w:cs="Arial"/>
          <w:szCs w:val="24"/>
        </w:rPr>
        <w:t>son</w:t>
      </w:r>
      <w:r w:rsidRPr="001738C4">
        <w:rPr>
          <w:rFonts w:cs="Arial"/>
          <w:szCs w:val="24"/>
        </w:rPr>
        <w:t xml:space="preserve"> nom a changé.</w:t>
      </w:r>
    </w:p>
    <w:p w14:paraId="31039DF5" w14:textId="5450DF77" w:rsidR="008615BE" w:rsidRPr="001738C4" w:rsidRDefault="008615BE" w:rsidP="001738C4">
      <w:pPr>
        <w:pStyle w:val="ListParagraph"/>
        <w:numPr>
          <w:ilvl w:val="0"/>
          <w:numId w:val="3"/>
        </w:numPr>
        <w:contextualSpacing w:val="0"/>
        <w:rPr>
          <w:rFonts w:cs="Arial"/>
          <w:szCs w:val="24"/>
        </w:rPr>
      </w:pPr>
      <w:r w:rsidRPr="001738C4">
        <w:rPr>
          <w:rFonts w:cs="Arial"/>
          <w:szCs w:val="24"/>
        </w:rPr>
        <w:t xml:space="preserve">L’exploitant recevra un préavis de 90 jours dans le </w:t>
      </w:r>
      <w:r w:rsidR="00C50BCF">
        <w:rPr>
          <w:rFonts w:cs="Arial"/>
        </w:rPr>
        <w:t>PCG</w:t>
      </w:r>
      <w:r w:rsidR="00C50BCF" w:rsidRPr="001738C4" w:rsidDel="00C50BCF">
        <w:rPr>
          <w:rFonts w:cs="Arial"/>
          <w:szCs w:val="24"/>
        </w:rPr>
        <w:t xml:space="preserve"> </w:t>
      </w:r>
      <w:r w:rsidRPr="001738C4">
        <w:rPr>
          <w:rFonts w:cs="Arial"/>
          <w:szCs w:val="24"/>
        </w:rPr>
        <w:t>si le ministre a l’intention de modifier un agrément en raison des alinéas a), b) et/ou c) ci</w:t>
      </w:r>
      <w:r w:rsidRPr="001738C4">
        <w:rPr>
          <w:rFonts w:cs="Arial"/>
          <w:szCs w:val="24"/>
        </w:rPr>
        <w:noBreakHyphen/>
        <w:t xml:space="preserve">dessus. L’exploitant dispose d’une période de 90 jours à compter de la date de l’avis pour exposer à l’ASFC, dans le </w:t>
      </w:r>
      <w:r w:rsidR="00C50BCF">
        <w:rPr>
          <w:rFonts w:cs="Arial"/>
        </w:rPr>
        <w:t>PCG</w:t>
      </w:r>
      <w:r w:rsidRPr="001738C4">
        <w:rPr>
          <w:rFonts w:cs="Arial"/>
          <w:szCs w:val="24"/>
        </w:rPr>
        <w:t xml:space="preserve">, les motifs pour lesquels l’agrément ne devrait pas être modifié. L’exploitant doit surveiller les communications de l’ASFC dans le </w:t>
      </w:r>
      <w:r w:rsidR="00C50BCF">
        <w:rPr>
          <w:rFonts w:cs="Arial"/>
        </w:rPr>
        <w:t>PCG</w:t>
      </w:r>
      <w:r w:rsidRPr="001738C4">
        <w:rPr>
          <w:rFonts w:cs="Arial"/>
          <w:szCs w:val="24"/>
        </w:rPr>
        <w:t>, car la période de préavis de 90 jours ne peut pas être prolongée.</w:t>
      </w:r>
      <w:bookmarkStart w:id="31" w:name="CancellationClosurebyLicensee"/>
      <w:bookmarkEnd w:id="31"/>
    </w:p>
    <w:p w14:paraId="72CF8F6D" w14:textId="0EAC1061" w:rsidR="008615BE" w:rsidRPr="008615BE" w:rsidRDefault="008615BE" w:rsidP="001738C4">
      <w:pPr>
        <w:pStyle w:val="Heading3"/>
      </w:pPr>
      <w:bookmarkStart w:id="32" w:name="_bookmark11"/>
      <w:bookmarkStart w:id="33" w:name="_Annulation/fermeture_initié_par"/>
      <w:bookmarkEnd w:id="32"/>
      <w:bookmarkEnd w:id="33"/>
      <w:r w:rsidRPr="008615BE">
        <w:t xml:space="preserve">Annulation/fermeture </w:t>
      </w:r>
      <w:r w:rsidR="002C24EE">
        <w:t>i</w:t>
      </w:r>
      <w:r w:rsidR="00C50BCF">
        <w:t>nitié</w:t>
      </w:r>
      <w:r w:rsidR="000727EB">
        <w:t>e</w:t>
      </w:r>
      <w:r w:rsidR="00C50BCF">
        <w:t xml:space="preserve"> </w:t>
      </w:r>
      <w:r w:rsidRPr="008615BE">
        <w:t>par l’exploitant</w:t>
      </w:r>
    </w:p>
    <w:p w14:paraId="1FBE371F" w14:textId="0998931D" w:rsidR="008615BE" w:rsidRPr="001738C4" w:rsidRDefault="008615BE" w:rsidP="001738C4">
      <w:pPr>
        <w:pStyle w:val="ListParagraph"/>
        <w:numPr>
          <w:ilvl w:val="0"/>
          <w:numId w:val="3"/>
        </w:numPr>
        <w:rPr>
          <w:rFonts w:cs="Arial"/>
          <w:szCs w:val="24"/>
        </w:rPr>
      </w:pPr>
      <w:r w:rsidRPr="001738C4">
        <w:rPr>
          <w:rFonts w:cs="Arial"/>
          <w:szCs w:val="24"/>
        </w:rPr>
        <w:t>L</w:t>
      </w:r>
      <w:r w:rsidR="00186073">
        <w:rPr>
          <w:rFonts w:cs="Arial"/>
          <w:szCs w:val="24"/>
        </w:rPr>
        <w:t>’</w:t>
      </w:r>
      <w:r w:rsidRPr="001738C4">
        <w:rPr>
          <w:rFonts w:cs="Arial"/>
          <w:szCs w:val="24"/>
        </w:rPr>
        <w:t xml:space="preserve">exploitant qui souhaite annuler </w:t>
      </w:r>
      <w:r w:rsidR="00186073">
        <w:rPr>
          <w:rFonts w:cs="Arial"/>
          <w:szCs w:val="24"/>
        </w:rPr>
        <w:t xml:space="preserve">son </w:t>
      </w:r>
      <w:r w:rsidRPr="001738C4">
        <w:rPr>
          <w:rFonts w:cs="Arial"/>
          <w:szCs w:val="24"/>
        </w:rPr>
        <w:t xml:space="preserve">agrément d’entrepôt d’attente doit en informer l’ASFC dans le </w:t>
      </w:r>
      <w:r w:rsidR="00C50BCF">
        <w:rPr>
          <w:rFonts w:cs="Arial"/>
        </w:rPr>
        <w:t>PCG</w:t>
      </w:r>
      <w:r w:rsidR="00C50BCF" w:rsidRPr="001738C4" w:rsidDel="00C50BCF">
        <w:rPr>
          <w:rFonts w:cs="Arial"/>
          <w:szCs w:val="24"/>
        </w:rPr>
        <w:t xml:space="preserve"> </w:t>
      </w:r>
      <w:r w:rsidRPr="001738C4">
        <w:rPr>
          <w:rFonts w:cs="Arial"/>
          <w:szCs w:val="24"/>
        </w:rPr>
        <w:t xml:space="preserve">au moins 60 jours avant la date d’annulation/de fermeture prévue. L’ASFC accuse réception de l’avis d’annulation/de fermeture dans le </w:t>
      </w:r>
      <w:r w:rsidR="00C50BCF">
        <w:rPr>
          <w:rFonts w:cs="Arial"/>
        </w:rPr>
        <w:t>PCG</w:t>
      </w:r>
      <w:r w:rsidRPr="001738C4">
        <w:rPr>
          <w:rFonts w:cs="Arial"/>
          <w:szCs w:val="24"/>
        </w:rPr>
        <w:t xml:space="preserve">. En cas de fermeture soudaine ou imprévue (p. ex. en raison d’un incendie, d’une faillite), l’exploitant doit en informer immédiatement le bureau local de l’ASFC pour que celle-ci puisse prendre des mesures afin de contrôler l’accès à l’installation. </w:t>
      </w:r>
      <w:r w:rsidR="00BF6B8C">
        <w:rPr>
          <w:rFonts w:cs="Arial"/>
          <w:szCs w:val="24"/>
        </w:rPr>
        <w:t xml:space="preserve">Le formulaire BSF897 </w:t>
      </w:r>
      <w:r w:rsidRPr="001738C4">
        <w:rPr>
          <w:rFonts w:cs="Arial"/>
          <w:szCs w:val="24"/>
        </w:rPr>
        <w:t>doit être télé</w:t>
      </w:r>
      <w:r w:rsidR="009652FC">
        <w:rPr>
          <w:rFonts w:cs="Arial"/>
          <w:szCs w:val="24"/>
        </w:rPr>
        <w:t>versé</w:t>
      </w:r>
      <w:r w:rsidRPr="001738C4">
        <w:rPr>
          <w:rFonts w:cs="Arial"/>
          <w:szCs w:val="24"/>
        </w:rPr>
        <w:t xml:space="preserve"> dans le </w:t>
      </w:r>
      <w:r w:rsidR="00C50BCF">
        <w:rPr>
          <w:rFonts w:cs="Arial"/>
        </w:rPr>
        <w:t>PCG</w:t>
      </w:r>
      <w:r w:rsidR="00C50BCF" w:rsidRPr="001738C4" w:rsidDel="00C50BCF">
        <w:rPr>
          <w:rFonts w:cs="Arial"/>
          <w:szCs w:val="24"/>
        </w:rPr>
        <w:t xml:space="preserve"> </w:t>
      </w:r>
      <w:r w:rsidRPr="001738C4">
        <w:rPr>
          <w:rFonts w:cs="Arial"/>
          <w:szCs w:val="24"/>
        </w:rPr>
        <w:t>et l</w:t>
      </w:r>
      <w:r w:rsidR="00726D0A">
        <w:rPr>
          <w:rFonts w:cs="Arial"/>
          <w:szCs w:val="24"/>
        </w:rPr>
        <w:t>’</w:t>
      </w:r>
      <w:r w:rsidR="00A07C89">
        <w:rPr>
          <w:rFonts w:cs="Arial"/>
          <w:szCs w:val="24"/>
        </w:rPr>
        <w:t>option</w:t>
      </w:r>
      <w:r w:rsidRPr="001738C4">
        <w:rPr>
          <w:rFonts w:cs="Arial"/>
          <w:szCs w:val="24"/>
        </w:rPr>
        <w:t xml:space="preserve"> « Demande d</w:t>
      </w:r>
      <w:r w:rsidR="00A07C89">
        <w:rPr>
          <w:rFonts w:cs="Arial"/>
          <w:szCs w:val="24"/>
        </w:rPr>
        <w:t>e l</w:t>
      </w:r>
      <w:r w:rsidRPr="001738C4">
        <w:rPr>
          <w:rFonts w:cs="Arial"/>
          <w:szCs w:val="24"/>
        </w:rPr>
        <w:t>’annulation d’</w:t>
      </w:r>
      <w:r w:rsidR="00A07C89">
        <w:rPr>
          <w:rFonts w:cs="Arial"/>
          <w:szCs w:val="24"/>
        </w:rPr>
        <w:t xml:space="preserve">un </w:t>
      </w:r>
      <w:r w:rsidRPr="001738C4">
        <w:rPr>
          <w:rFonts w:cs="Arial"/>
          <w:szCs w:val="24"/>
        </w:rPr>
        <w:t xml:space="preserve">agrément » </w:t>
      </w:r>
      <w:r w:rsidR="00A07C89" w:rsidRPr="001738C4">
        <w:rPr>
          <w:rFonts w:cs="Arial"/>
          <w:szCs w:val="24"/>
        </w:rPr>
        <w:t>doit être coché</w:t>
      </w:r>
      <w:r w:rsidR="00680354">
        <w:rPr>
          <w:rFonts w:cs="Arial"/>
          <w:szCs w:val="24"/>
        </w:rPr>
        <w:t>e</w:t>
      </w:r>
      <w:r w:rsidR="00A07C89" w:rsidRPr="001738C4">
        <w:rPr>
          <w:rFonts w:cs="Arial"/>
          <w:szCs w:val="24"/>
        </w:rPr>
        <w:t xml:space="preserve"> </w:t>
      </w:r>
      <w:r w:rsidR="00680354">
        <w:rPr>
          <w:rFonts w:cs="Arial"/>
          <w:szCs w:val="24"/>
        </w:rPr>
        <w:t>dans le champ 2</w:t>
      </w:r>
      <w:r w:rsidR="00A07C89" w:rsidRPr="001738C4">
        <w:rPr>
          <w:rFonts w:cs="Arial"/>
          <w:szCs w:val="24"/>
        </w:rPr>
        <w:t xml:space="preserve"> </w:t>
      </w:r>
      <w:r w:rsidRPr="001738C4">
        <w:rPr>
          <w:rFonts w:cs="Arial"/>
          <w:szCs w:val="24"/>
        </w:rPr>
        <w:t xml:space="preserve">dans un cas ou l’autre. </w:t>
      </w:r>
    </w:p>
    <w:p w14:paraId="5F5550BD" w14:textId="77777777" w:rsidR="008615BE" w:rsidRPr="008615BE" w:rsidRDefault="008615BE" w:rsidP="001738C4">
      <w:pPr>
        <w:pStyle w:val="Heading3"/>
      </w:pPr>
      <w:bookmarkStart w:id="34" w:name="_bookmark12"/>
      <w:bookmarkStart w:id="35" w:name="CancellationbyCBSA"/>
      <w:bookmarkStart w:id="36" w:name="_Annulation_par_l’ASFC"/>
      <w:bookmarkEnd w:id="34"/>
      <w:bookmarkEnd w:id="35"/>
      <w:bookmarkEnd w:id="36"/>
      <w:r w:rsidRPr="008615BE">
        <w:t xml:space="preserve">Annulation par l’ASFC </w:t>
      </w:r>
    </w:p>
    <w:p w14:paraId="0A8E787D" w14:textId="77777777" w:rsidR="001738C4" w:rsidRDefault="008615BE" w:rsidP="00C24E69">
      <w:pPr>
        <w:pStyle w:val="ListParagraph"/>
        <w:numPr>
          <w:ilvl w:val="0"/>
          <w:numId w:val="3"/>
        </w:numPr>
        <w:contextualSpacing w:val="0"/>
        <w:rPr>
          <w:rFonts w:cs="Arial"/>
          <w:szCs w:val="24"/>
        </w:rPr>
      </w:pPr>
      <w:r w:rsidRPr="001738C4">
        <w:rPr>
          <w:rFonts w:cs="Arial"/>
          <w:szCs w:val="24"/>
        </w:rPr>
        <w:t xml:space="preserve">En vertu de l’article 7 du </w:t>
      </w:r>
      <w:r w:rsidRPr="008A5C7C">
        <w:rPr>
          <w:rFonts w:cs="Arial"/>
          <w:i/>
          <w:iCs/>
          <w:szCs w:val="24"/>
        </w:rPr>
        <w:t>Règlement</w:t>
      </w:r>
      <w:r w:rsidRPr="001738C4">
        <w:rPr>
          <w:rFonts w:cs="Arial"/>
          <w:szCs w:val="24"/>
        </w:rPr>
        <w:t>, l’ASFC peut annuler un agrément dans les cas où l’exploitant :</w:t>
      </w:r>
    </w:p>
    <w:p w14:paraId="5A45F418" w14:textId="3D506958" w:rsidR="001738C4" w:rsidRDefault="008615BE" w:rsidP="00C24E69">
      <w:pPr>
        <w:pStyle w:val="ListParagraph"/>
        <w:numPr>
          <w:ilvl w:val="1"/>
          <w:numId w:val="3"/>
        </w:numPr>
        <w:contextualSpacing w:val="0"/>
        <w:rPr>
          <w:rFonts w:cs="Arial"/>
          <w:szCs w:val="24"/>
        </w:rPr>
      </w:pPr>
      <w:r w:rsidRPr="001738C4">
        <w:rPr>
          <w:rFonts w:cs="Arial"/>
          <w:szCs w:val="24"/>
        </w:rPr>
        <w:t>n’est plus le propriétaire ou le locataire de l’entrepôt d’attente visé par l’agrément;</w:t>
      </w:r>
    </w:p>
    <w:p w14:paraId="77B0E0F0" w14:textId="77777777" w:rsidR="001738C4" w:rsidRDefault="008615BE" w:rsidP="00C24E69">
      <w:pPr>
        <w:pStyle w:val="ListParagraph"/>
        <w:numPr>
          <w:ilvl w:val="1"/>
          <w:numId w:val="3"/>
        </w:numPr>
        <w:contextualSpacing w:val="0"/>
        <w:rPr>
          <w:rFonts w:cs="Arial"/>
          <w:szCs w:val="24"/>
        </w:rPr>
      </w:pPr>
      <w:r w:rsidRPr="001738C4">
        <w:rPr>
          <w:rFonts w:cs="Arial"/>
          <w:szCs w:val="24"/>
        </w:rPr>
        <w:t>est en faillite.</w:t>
      </w:r>
    </w:p>
    <w:p w14:paraId="6054D2B8" w14:textId="7218F0FD" w:rsidR="008615BE" w:rsidRPr="001738C4" w:rsidRDefault="008A1E82" w:rsidP="00C24E69">
      <w:pPr>
        <w:pStyle w:val="ListParagraph"/>
        <w:numPr>
          <w:ilvl w:val="0"/>
          <w:numId w:val="3"/>
        </w:numPr>
        <w:contextualSpacing w:val="0"/>
        <w:rPr>
          <w:rFonts w:cs="Arial"/>
          <w:szCs w:val="24"/>
        </w:rPr>
      </w:pPr>
      <w:r>
        <w:rPr>
          <w:rFonts w:cs="Arial"/>
          <w:szCs w:val="24"/>
        </w:rPr>
        <w:lastRenderedPageBreak/>
        <w:t>Une</w:t>
      </w:r>
      <w:r w:rsidRPr="001738C4">
        <w:rPr>
          <w:rFonts w:cs="Arial"/>
          <w:szCs w:val="24"/>
        </w:rPr>
        <w:t xml:space="preserve"> </w:t>
      </w:r>
      <w:r w:rsidR="008615BE" w:rsidRPr="001738C4">
        <w:rPr>
          <w:rFonts w:cs="Arial"/>
          <w:szCs w:val="24"/>
        </w:rPr>
        <w:t>période d’avis ne s’applique pas lorsque l’agrément est annulé pour l’un des motifs ci-dessus.</w:t>
      </w:r>
      <w:bookmarkStart w:id="37" w:name="_bookmark13"/>
      <w:bookmarkStart w:id="38" w:name="SuspensionbyCBSAwithNotice"/>
      <w:bookmarkEnd w:id="37"/>
      <w:bookmarkEnd w:id="38"/>
    </w:p>
    <w:p w14:paraId="3124BF87" w14:textId="50E63C72" w:rsidR="008615BE" w:rsidRPr="008615BE" w:rsidRDefault="008615BE" w:rsidP="00C24E69">
      <w:pPr>
        <w:pStyle w:val="Heading3"/>
      </w:pPr>
      <w:bookmarkStart w:id="39" w:name="_Suspension_(ou_annulation)"/>
      <w:bookmarkEnd w:id="39"/>
      <w:r w:rsidRPr="008615BE">
        <w:t xml:space="preserve">Suspension (ou annulation) </w:t>
      </w:r>
      <w:r w:rsidR="00C50BCF">
        <w:t>initié</w:t>
      </w:r>
      <w:r w:rsidR="0087770D">
        <w:t>e</w:t>
      </w:r>
      <w:r w:rsidR="00C50BCF">
        <w:t xml:space="preserve"> </w:t>
      </w:r>
      <w:r w:rsidRPr="008615BE">
        <w:t xml:space="preserve">par l’ASFC </w:t>
      </w:r>
      <w:r w:rsidR="000727EB">
        <w:t>–</w:t>
      </w:r>
      <w:r w:rsidRPr="008615BE">
        <w:t xml:space="preserve"> avec avis</w:t>
      </w:r>
    </w:p>
    <w:p w14:paraId="5D64F42C" w14:textId="2BA9B556" w:rsidR="00C24E69" w:rsidRDefault="008615BE" w:rsidP="00C24E69">
      <w:pPr>
        <w:pStyle w:val="ListParagraph"/>
        <w:numPr>
          <w:ilvl w:val="0"/>
          <w:numId w:val="3"/>
        </w:numPr>
        <w:contextualSpacing w:val="0"/>
        <w:rPr>
          <w:rFonts w:cs="Arial"/>
          <w:szCs w:val="24"/>
        </w:rPr>
      </w:pPr>
      <w:r w:rsidRPr="00C24E69">
        <w:rPr>
          <w:rFonts w:cs="Arial"/>
          <w:szCs w:val="24"/>
        </w:rPr>
        <w:t xml:space="preserve">En vertu du paragraphe 8(1) et sous réserve de l’article 9 du </w:t>
      </w:r>
      <w:r w:rsidRPr="00C14E78">
        <w:rPr>
          <w:rFonts w:cs="Arial"/>
          <w:i/>
          <w:iCs/>
          <w:szCs w:val="24"/>
        </w:rPr>
        <w:t>Règlement</w:t>
      </w:r>
      <w:r w:rsidRPr="00C24E69">
        <w:rPr>
          <w:rFonts w:cs="Arial"/>
          <w:szCs w:val="24"/>
        </w:rPr>
        <w:t xml:space="preserve">, l’ASFC peut suspendre (ou annuler) un agrément </w:t>
      </w:r>
      <w:r w:rsidR="001016A3">
        <w:rPr>
          <w:rFonts w:cs="Arial"/>
          <w:szCs w:val="24"/>
        </w:rPr>
        <w:t>si</w:t>
      </w:r>
      <w:r w:rsidRPr="00C24E69">
        <w:rPr>
          <w:rFonts w:cs="Arial"/>
          <w:szCs w:val="24"/>
        </w:rPr>
        <w:t xml:space="preserve"> l’exploitant</w:t>
      </w:r>
      <w:r w:rsidR="00DA1D96">
        <w:rPr>
          <w:rFonts w:cs="Arial"/>
          <w:szCs w:val="24"/>
        </w:rPr>
        <w:t>, selon le cas</w:t>
      </w:r>
      <w:r w:rsidRPr="00C24E69">
        <w:rPr>
          <w:rFonts w:cs="Arial"/>
          <w:szCs w:val="24"/>
        </w:rPr>
        <w:t> :</w:t>
      </w:r>
    </w:p>
    <w:p w14:paraId="18530969" w14:textId="601BE28C" w:rsidR="00C24E69" w:rsidRDefault="008615BE" w:rsidP="00C24E69">
      <w:pPr>
        <w:pStyle w:val="ListParagraph"/>
        <w:numPr>
          <w:ilvl w:val="1"/>
          <w:numId w:val="3"/>
        </w:numPr>
        <w:contextualSpacing w:val="0"/>
        <w:rPr>
          <w:rFonts w:cs="Arial"/>
          <w:szCs w:val="24"/>
        </w:rPr>
      </w:pPr>
      <w:r w:rsidRPr="00C24E69">
        <w:rPr>
          <w:rFonts w:cs="Arial"/>
          <w:szCs w:val="24"/>
        </w:rPr>
        <w:t xml:space="preserve">fait l’objet d’une mise sous </w:t>
      </w:r>
      <w:r w:rsidR="00DA1D96">
        <w:rPr>
          <w:rFonts w:cs="Arial"/>
          <w:szCs w:val="24"/>
        </w:rPr>
        <w:t>tutelle</w:t>
      </w:r>
      <w:r w:rsidRPr="00C24E69">
        <w:rPr>
          <w:rFonts w:cs="Arial"/>
          <w:szCs w:val="24"/>
        </w:rPr>
        <w:t xml:space="preserve"> </w:t>
      </w:r>
      <w:r w:rsidR="00BD5DD7">
        <w:rPr>
          <w:rFonts w:cs="Arial"/>
          <w:szCs w:val="24"/>
        </w:rPr>
        <w:t>aux fins du règlement</w:t>
      </w:r>
      <w:r w:rsidRPr="00C24E69">
        <w:rPr>
          <w:rFonts w:cs="Arial"/>
          <w:szCs w:val="24"/>
        </w:rPr>
        <w:t xml:space="preserve"> de ses dettes;</w:t>
      </w:r>
    </w:p>
    <w:p w14:paraId="7556F5C3" w14:textId="5D05BDE7" w:rsidR="00C24E69" w:rsidRDefault="008615BE" w:rsidP="00C24E69">
      <w:pPr>
        <w:pStyle w:val="ListParagraph"/>
        <w:numPr>
          <w:ilvl w:val="1"/>
          <w:numId w:val="3"/>
        </w:numPr>
        <w:contextualSpacing w:val="0"/>
        <w:rPr>
          <w:rFonts w:cs="Arial"/>
          <w:szCs w:val="24"/>
        </w:rPr>
      </w:pPr>
      <w:r w:rsidRPr="00C24E69">
        <w:rPr>
          <w:rFonts w:cs="Arial"/>
          <w:szCs w:val="24"/>
        </w:rPr>
        <w:t xml:space="preserve">omet de </w:t>
      </w:r>
      <w:r w:rsidR="00BD5DD7">
        <w:rPr>
          <w:rFonts w:cs="Arial"/>
          <w:szCs w:val="24"/>
        </w:rPr>
        <w:t xml:space="preserve">se conformer à </w:t>
      </w:r>
      <w:r w:rsidRPr="00C24E69">
        <w:rPr>
          <w:rFonts w:cs="Arial"/>
          <w:szCs w:val="24"/>
        </w:rPr>
        <w:t xml:space="preserve">toute loi </w:t>
      </w:r>
      <w:r w:rsidR="00BD5DD7">
        <w:rPr>
          <w:rFonts w:cs="Arial"/>
          <w:szCs w:val="24"/>
        </w:rPr>
        <w:t>fédérale</w:t>
      </w:r>
      <w:r w:rsidRPr="00C24E69">
        <w:rPr>
          <w:rFonts w:cs="Arial"/>
          <w:szCs w:val="24"/>
        </w:rPr>
        <w:t xml:space="preserve"> ou </w:t>
      </w:r>
      <w:r w:rsidR="00A75436">
        <w:rPr>
          <w:rFonts w:cs="Arial"/>
          <w:szCs w:val="24"/>
        </w:rPr>
        <w:t xml:space="preserve">à </w:t>
      </w:r>
      <w:r w:rsidRPr="00C24E69">
        <w:rPr>
          <w:rFonts w:cs="Arial"/>
          <w:szCs w:val="24"/>
        </w:rPr>
        <w:t xml:space="preserve">tout règlement </w:t>
      </w:r>
      <w:r w:rsidR="00A75436">
        <w:rPr>
          <w:rFonts w:cs="Arial"/>
          <w:szCs w:val="24"/>
        </w:rPr>
        <w:t>d’application de celle-ci</w:t>
      </w:r>
      <w:r w:rsidRPr="00C24E69">
        <w:rPr>
          <w:rFonts w:cs="Arial"/>
          <w:szCs w:val="24"/>
        </w:rPr>
        <w:t xml:space="preserve"> qui </w:t>
      </w:r>
      <w:r w:rsidR="00A75436">
        <w:rPr>
          <w:rFonts w:cs="Arial"/>
          <w:szCs w:val="24"/>
        </w:rPr>
        <w:t xml:space="preserve">prohibent, </w:t>
      </w:r>
      <w:r w:rsidRPr="00C24E69">
        <w:rPr>
          <w:rFonts w:cs="Arial"/>
          <w:szCs w:val="24"/>
        </w:rPr>
        <w:t>contrôle</w:t>
      </w:r>
      <w:r w:rsidR="00A75436">
        <w:rPr>
          <w:rFonts w:cs="Arial"/>
          <w:szCs w:val="24"/>
        </w:rPr>
        <w:t>nt</w:t>
      </w:r>
      <w:r w:rsidRPr="00C24E69">
        <w:rPr>
          <w:rFonts w:cs="Arial"/>
          <w:szCs w:val="24"/>
        </w:rPr>
        <w:t xml:space="preserve"> ou </w:t>
      </w:r>
      <w:r w:rsidR="00A75436">
        <w:rPr>
          <w:rFonts w:cs="Arial"/>
          <w:szCs w:val="24"/>
        </w:rPr>
        <w:t>régissent</w:t>
      </w:r>
      <w:r w:rsidRPr="00C24E69">
        <w:rPr>
          <w:rFonts w:cs="Arial"/>
          <w:szCs w:val="24"/>
        </w:rPr>
        <w:t xml:space="preserve"> l’importation ou l’exportation de marchandises;</w:t>
      </w:r>
    </w:p>
    <w:p w14:paraId="359A0CD7" w14:textId="6A3F37F1" w:rsidR="00C24E69" w:rsidRDefault="008615BE" w:rsidP="00C24E69">
      <w:pPr>
        <w:pStyle w:val="ListParagraph"/>
        <w:numPr>
          <w:ilvl w:val="1"/>
          <w:numId w:val="3"/>
        </w:numPr>
        <w:contextualSpacing w:val="0"/>
        <w:rPr>
          <w:rFonts w:cs="Arial"/>
          <w:szCs w:val="24"/>
        </w:rPr>
      </w:pPr>
      <w:r w:rsidRPr="00C24E69">
        <w:rPr>
          <w:rFonts w:cs="Arial"/>
          <w:szCs w:val="24"/>
        </w:rPr>
        <w:t xml:space="preserve">a </w:t>
      </w:r>
      <w:r w:rsidR="007257CE">
        <w:rPr>
          <w:rFonts w:cs="Arial"/>
          <w:szCs w:val="24"/>
        </w:rPr>
        <w:t xml:space="preserve">été </w:t>
      </w:r>
      <w:r w:rsidRPr="00C24E69">
        <w:rPr>
          <w:rFonts w:cs="Arial"/>
          <w:szCs w:val="24"/>
        </w:rPr>
        <w:t xml:space="preserve">malhonnêtement dans ses relations d’affaires avec les courtiers en douane, les importateurs, les </w:t>
      </w:r>
      <w:r w:rsidR="00680B95">
        <w:rPr>
          <w:rFonts w:cs="Arial"/>
          <w:szCs w:val="24"/>
        </w:rPr>
        <w:t>transitaires</w:t>
      </w:r>
      <w:r w:rsidRPr="00C24E69">
        <w:rPr>
          <w:rFonts w:cs="Arial"/>
          <w:szCs w:val="24"/>
        </w:rPr>
        <w:t xml:space="preserve">, Sa Majesté ou les </w:t>
      </w:r>
      <w:r w:rsidR="00680B95">
        <w:rPr>
          <w:rFonts w:cs="Arial"/>
          <w:szCs w:val="24"/>
        </w:rPr>
        <w:t>représentants</w:t>
      </w:r>
      <w:r w:rsidRPr="00C24E69">
        <w:rPr>
          <w:rFonts w:cs="Arial"/>
          <w:szCs w:val="24"/>
        </w:rPr>
        <w:t xml:space="preserve"> de Sa Majesté</w:t>
      </w:r>
      <w:r w:rsidR="00680B95">
        <w:rPr>
          <w:rFonts w:cs="Arial"/>
          <w:szCs w:val="24"/>
        </w:rPr>
        <w:t xml:space="preserve"> dans le cadre de l’exploitation</w:t>
      </w:r>
      <w:r w:rsidR="00FB2B66">
        <w:rPr>
          <w:rFonts w:cs="Arial"/>
          <w:szCs w:val="24"/>
        </w:rPr>
        <w:t xml:space="preserve"> de l’entrepôt d’attente</w:t>
      </w:r>
      <w:r w:rsidRPr="00C24E69">
        <w:rPr>
          <w:rFonts w:cs="Arial"/>
          <w:szCs w:val="24"/>
        </w:rPr>
        <w:t>;</w:t>
      </w:r>
    </w:p>
    <w:p w14:paraId="629788AE" w14:textId="16521755" w:rsidR="00C24E69" w:rsidRDefault="008615BE" w:rsidP="00C24E69">
      <w:pPr>
        <w:pStyle w:val="ListParagraph"/>
        <w:numPr>
          <w:ilvl w:val="1"/>
          <w:numId w:val="3"/>
        </w:numPr>
        <w:contextualSpacing w:val="0"/>
        <w:rPr>
          <w:rFonts w:cs="Arial"/>
          <w:szCs w:val="24"/>
        </w:rPr>
      </w:pPr>
      <w:r w:rsidRPr="00C24E69">
        <w:rPr>
          <w:rFonts w:cs="Arial"/>
          <w:szCs w:val="24"/>
        </w:rPr>
        <w:t>a fait preuve d’incompétence dans l’exploitation de l’entrepôt d’attente.</w:t>
      </w:r>
    </w:p>
    <w:p w14:paraId="5D7601D7" w14:textId="6655D83E" w:rsidR="00C24E69" w:rsidRDefault="008615BE" w:rsidP="00C24E69">
      <w:pPr>
        <w:pStyle w:val="ListParagraph"/>
        <w:numPr>
          <w:ilvl w:val="0"/>
          <w:numId w:val="3"/>
        </w:numPr>
        <w:contextualSpacing w:val="0"/>
        <w:rPr>
          <w:rFonts w:cs="Arial"/>
          <w:szCs w:val="24"/>
        </w:rPr>
      </w:pPr>
      <w:r w:rsidRPr="00C24E69">
        <w:rPr>
          <w:rFonts w:cs="Arial"/>
          <w:szCs w:val="24"/>
        </w:rPr>
        <w:t xml:space="preserve">Lorsque le ministre suspend un agrément, l’ASFC en avise immédiatement l’exploitant dans le </w:t>
      </w:r>
      <w:r w:rsidR="008A1E82">
        <w:rPr>
          <w:rFonts w:cs="Arial"/>
          <w:szCs w:val="24"/>
        </w:rPr>
        <w:t>PCG</w:t>
      </w:r>
      <w:r w:rsidRPr="00C24E69">
        <w:rPr>
          <w:rFonts w:cs="Arial"/>
          <w:szCs w:val="24"/>
        </w:rPr>
        <w:t xml:space="preserve"> et lui fournit tous les renseignements pertinents sur les motifs de la suspension. L’exploitant a alors 90 jours pour exposer les raisons justifiant le rétablissement de l’agrément. Cette information doit être transmise dans le </w:t>
      </w:r>
      <w:r w:rsidR="008A1E82">
        <w:rPr>
          <w:rFonts w:cs="Arial"/>
          <w:szCs w:val="24"/>
        </w:rPr>
        <w:t xml:space="preserve">PCG </w:t>
      </w:r>
      <w:r w:rsidRPr="00C24E69">
        <w:rPr>
          <w:rFonts w:cs="Arial"/>
          <w:szCs w:val="24"/>
        </w:rPr>
        <w:t>comme indiqué dans la lettre de suspension de l’ASFC.</w:t>
      </w:r>
    </w:p>
    <w:p w14:paraId="2E0CDFB0" w14:textId="53AE36B8" w:rsidR="008615BE" w:rsidRPr="00C24E69" w:rsidRDefault="008615BE" w:rsidP="00C24E69">
      <w:pPr>
        <w:pStyle w:val="ListParagraph"/>
        <w:numPr>
          <w:ilvl w:val="0"/>
          <w:numId w:val="3"/>
        </w:numPr>
        <w:contextualSpacing w:val="0"/>
        <w:rPr>
          <w:rFonts w:cs="Arial"/>
          <w:szCs w:val="24"/>
        </w:rPr>
      </w:pPr>
      <w:r w:rsidRPr="00C24E69">
        <w:rPr>
          <w:rFonts w:cs="Arial"/>
          <w:szCs w:val="24"/>
        </w:rPr>
        <w:t>Dans les cas où des correctifs sont exigés de la part de l’exploitant, l’agrément est rétabli dès que l’ASFC est convaincue qu’il n’y a plus de motif de suspension.</w:t>
      </w:r>
    </w:p>
    <w:p w14:paraId="3EEE3CA1" w14:textId="77777777" w:rsidR="008615BE" w:rsidRPr="008615BE" w:rsidRDefault="008615BE" w:rsidP="00C24E69">
      <w:pPr>
        <w:pStyle w:val="Heading3"/>
      </w:pPr>
      <w:bookmarkStart w:id="40" w:name="_bookmark14"/>
      <w:bookmarkStart w:id="41" w:name="Reinstatement"/>
      <w:bookmarkStart w:id="42" w:name="_Rétablissement_de_l’agrément"/>
      <w:bookmarkEnd w:id="40"/>
      <w:bookmarkEnd w:id="41"/>
      <w:bookmarkEnd w:id="42"/>
      <w:r w:rsidRPr="008615BE">
        <w:t>Rétablissement de l’agrément par l’ASFC</w:t>
      </w:r>
    </w:p>
    <w:p w14:paraId="66E12F32" w14:textId="74002F40" w:rsidR="00C24E69" w:rsidRDefault="008615BE" w:rsidP="00C24E69">
      <w:pPr>
        <w:pStyle w:val="ListParagraph"/>
        <w:numPr>
          <w:ilvl w:val="0"/>
          <w:numId w:val="3"/>
        </w:numPr>
        <w:contextualSpacing w:val="0"/>
        <w:rPr>
          <w:rFonts w:cs="Arial"/>
          <w:szCs w:val="24"/>
        </w:rPr>
      </w:pPr>
      <w:r w:rsidRPr="00C24E69">
        <w:rPr>
          <w:rFonts w:cs="Arial"/>
          <w:szCs w:val="24"/>
        </w:rPr>
        <w:t xml:space="preserve">Le ministre peut rétablir un agrément suspendu </w:t>
      </w:r>
      <w:r w:rsidR="006D005B">
        <w:rPr>
          <w:rFonts w:cs="Arial"/>
          <w:szCs w:val="24"/>
        </w:rPr>
        <w:t>lorsqu’</w:t>
      </w:r>
      <w:r w:rsidRPr="00C24E69">
        <w:rPr>
          <w:rFonts w:cs="Arial"/>
          <w:szCs w:val="24"/>
        </w:rPr>
        <w:t xml:space="preserve">il est </w:t>
      </w:r>
      <w:r w:rsidR="006D005B">
        <w:rPr>
          <w:rFonts w:cs="Arial"/>
          <w:szCs w:val="24"/>
        </w:rPr>
        <w:t>d’avis</w:t>
      </w:r>
      <w:r w:rsidRPr="00C24E69">
        <w:rPr>
          <w:rFonts w:cs="Arial"/>
          <w:szCs w:val="24"/>
        </w:rPr>
        <w:t xml:space="preserve"> que l</w:t>
      </w:r>
      <w:r w:rsidR="00E51C18">
        <w:rPr>
          <w:rFonts w:cs="Arial"/>
          <w:szCs w:val="24"/>
        </w:rPr>
        <w:t>e motif</w:t>
      </w:r>
      <w:r w:rsidRPr="00C24E69">
        <w:rPr>
          <w:rFonts w:cs="Arial"/>
          <w:szCs w:val="24"/>
        </w:rPr>
        <w:t xml:space="preserve"> de la suspension n’existe plus.</w:t>
      </w:r>
    </w:p>
    <w:p w14:paraId="00AD5C58" w14:textId="4621A475" w:rsidR="008615BE" w:rsidRPr="00C24E69" w:rsidRDefault="008615BE" w:rsidP="00C24E69">
      <w:pPr>
        <w:pStyle w:val="ListParagraph"/>
        <w:numPr>
          <w:ilvl w:val="0"/>
          <w:numId w:val="3"/>
        </w:numPr>
        <w:contextualSpacing w:val="0"/>
        <w:rPr>
          <w:rFonts w:cs="Arial"/>
          <w:szCs w:val="24"/>
        </w:rPr>
      </w:pPr>
      <w:r w:rsidRPr="00C24E69">
        <w:rPr>
          <w:rFonts w:cs="Arial"/>
          <w:szCs w:val="24"/>
        </w:rPr>
        <w:t xml:space="preserve">Lorsqu’un agrément suspendu est rétabli, l’ASFC en avise l’exploitant dans le </w:t>
      </w:r>
      <w:r w:rsidR="008A1E82">
        <w:rPr>
          <w:rFonts w:cs="Arial"/>
          <w:szCs w:val="24"/>
        </w:rPr>
        <w:t>PCG</w:t>
      </w:r>
      <w:r w:rsidRPr="00C24E69">
        <w:rPr>
          <w:rFonts w:cs="Arial"/>
          <w:szCs w:val="24"/>
        </w:rPr>
        <w:t>.</w:t>
      </w:r>
    </w:p>
    <w:p w14:paraId="15BC4316" w14:textId="13AF003D" w:rsidR="008615BE" w:rsidRPr="008615BE" w:rsidRDefault="008615BE" w:rsidP="00C24E69">
      <w:pPr>
        <w:pStyle w:val="Heading3"/>
      </w:pPr>
      <w:bookmarkStart w:id="43" w:name="_bookmark15"/>
      <w:bookmarkStart w:id="44" w:name="CancellationbyCBSAwithNOtice"/>
      <w:bookmarkStart w:id="45" w:name="_Annulation_initié_par"/>
      <w:bookmarkEnd w:id="43"/>
      <w:bookmarkEnd w:id="44"/>
      <w:bookmarkEnd w:id="45"/>
      <w:r w:rsidRPr="008615BE">
        <w:lastRenderedPageBreak/>
        <w:t xml:space="preserve">Annulation </w:t>
      </w:r>
      <w:r w:rsidR="008A1E82">
        <w:t>initié</w:t>
      </w:r>
      <w:r w:rsidR="007E5B74">
        <w:t>e</w:t>
      </w:r>
      <w:r w:rsidR="008A1E82">
        <w:t xml:space="preserve"> </w:t>
      </w:r>
      <w:r w:rsidRPr="008615BE">
        <w:t xml:space="preserve">par l’ASFC </w:t>
      </w:r>
      <w:r w:rsidR="007E5B74">
        <w:t>–</w:t>
      </w:r>
      <w:r w:rsidRPr="008615BE">
        <w:t xml:space="preserve"> avec avis</w:t>
      </w:r>
    </w:p>
    <w:p w14:paraId="5EDE6093" w14:textId="46EE2615" w:rsidR="00C24E69" w:rsidRDefault="008615BE" w:rsidP="00C24E69">
      <w:pPr>
        <w:pStyle w:val="ListParagraph"/>
        <w:numPr>
          <w:ilvl w:val="0"/>
          <w:numId w:val="3"/>
        </w:numPr>
        <w:contextualSpacing w:val="0"/>
        <w:rPr>
          <w:rFonts w:cs="Arial"/>
          <w:szCs w:val="24"/>
        </w:rPr>
      </w:pPr>
      <w:r w:rsidRPr="00C24E69">
        <w:rPr>
          <w:rFonts w:cs="Arial"/>
          <w:szCs w:val="24"/>
        </w:rPr>
        <w:t xml:space="preserve">En vertu du paragraphe 8(2) et sous réserve des paragraphes 9(3) et (4) du </w:t>
      </w:r>
      <w:r w:rsidRPr="00C14E78">
        <w:rPr>
          <w:rFonts w:cs="Arial"/>
          <w:i/>
          <w:iCs/>
          <w:szCs w:val="24"/>
        </w:rPr>
        <w:t>Règlement</w:t>
      </w:r>
      <w:r w:rsidRPr="00C24E69">
        <w:rPr>
          <w:rFonts w:cs="Arial"/>
          <w:szCs w:val="24"/>
        </w:rPr>
        <w:t xml:space="preserve">, l’ASFC peut annuler </w:t>
      </w:r>
      <w:r w:rsidR="00062F87">
        <w:rPr>
          <w:rFonts w:cs="Arial"/>
          <w:szCs w:val="24"/>
        </w:rPr>
        <w:t>l’</w:t>
      </w:r>
      <w:r w:rsidRPr="00C24E69">
        <w:rPr>
          <w:rFonts w:cs="Arial"/>
          <w:szCs w:val="24"/>
        </w:rPr>
        <w:t xml:space="preserve">agrément </w:t>
      </w:r>
      <w:r w:rsidR="00062F87">
        <w:rPr>
          <w:rFonts w:cs="Arial"/>
          <w:szCs w:val="24"/>
        </w:rPr>
        <w:t>lorsque, selon le</w:t>
      </w:r>
      <w:r w:rsidRPr="00C24E69">
        <w:rPr>
          <w:rFonts w:cs="Arial"/>
          <w:szCs w:val="24"/>
        </w:rPr>
        <w:t xml:space="preserve"> cas</w:t>
      </w:r>
      <w:r w:rsidR="00062F87">
        <w:rPr>
          <w:rFonts w:cs="Arial"/>
          <w:szCs w:val="24"/>
        </w:rPr>
        <w:t> </w:t>
      </w:r>
      <w:r w:rsidRPr="00C24E69">
        <w:rPr>
          <w:rFonts w:cs="Arial"/>
          <w:szCs w:val="24"/>
        </w:rPr>
        <w:t>:</w:t>
      </w:r>
    </w:p>
    <w:p w14:paraId="69FA552F" w14:textId="4B6C6F15" w:rsidR="00C24E69" w:rsidRDefault="008615BE" w:rsidP="00C24E69">
      <w:pPr>
        <w:pStyle w:val="ListParagraph"/>
        <w:numPr>
          <w:ilvl w:val="1"/>
          <w:numId w:val="3"/>
        </w:numPr>
        <w:contextualSpacing w:val="0"/>
        <w:rPr>
          <w:rFonts w:cs="Arial"/>
          <w:szCs w:val="24"/>
        </w:rPr>
      </w:pPr>
      <w:r w:rsidRPr="00C24E69">
        <w:rPr>
          <w:rFonts w:cs="Arial"/>
          <w:szCs w:val="24"/>
        </w:rPr>
        <w:t xml:space="preserve">le volume des marchandises reçues </w:t>
      </w:r>
      <w:r w:rsidR="00062F87">
        <w:rPr>
          <w:rFonts w:cs="Arial"/>
          <w:szCs w:val="24"/>
        </w:rPr>
        <w:t xml:space="preserve">à </w:t>
      </w:r>
      <w:r w:rsidRPr="00C24E69">
        <w:rPr>
          <w:rFonts w:cs="Arial"/>
          <w:szCs w:val="24"/>
        </w:rPr>
        <w:t>l’entrepôt d’attente n</w:t>
      </w:r>
      <w:r w:rsidR="00223C31">
        <w:rPr>
          <w:rFonts w:cs="Arial"/>
          <w:szCs w:val="24"/>
        </w:rPr>
        <w:t xml:space="preserve">’est plus suffisant pour </w:t>
      </w:r>
      <w:r w:rsidRPr="00C24E69">
        <w:rPr>
          <w:rFonts w:cs="Arial"/>
          <w:szCs w:val="24"/>
        </w:rPr>
        <w:t>justifie</w:t>
      </w:r>
      <w:r w:rsidR="00223C31">
        <w:rPr>
          <w:rFonts w:cs="Arial"/>
          <w:szCs w:val="24"/>
        </w:rPr>
        <w:t>r</w:t>
      </w:r>
      <w:r w:rsidRPr="00C24E69">
        <w:rPr>
          <w:rFonts w:cs="Arial"/>
          <w:szCs w:val="24"/>
        </w:rPr>
        <w:t xml:space="preserve"> </w:t>
      </w:r>
      <w:r w:rsidR="00223C31">
        <w:rPr>
          <w:rFonts w:cs="Arial"/>
          <w:szCs w:val="24"/>
        </w:rPr>
        <w:t>la poursuite de l’</w:t>
      </w:r>
      <w:r w:rsidRPr="00C24E69">
        <w:rPr>
          <w:rFonts w:cs="Arial"/>
          <w:szCs w:val="24"/>
        </w:rPr>
        <w:t>exploitation;</w:t>
      </w:r>
    </w:p>
    <w:p w14:paraId="3BCA8B22" w14:textId="195187BA" w:rsidR="00C24E69" w:rsidRDefault="000308F6" w:rsidP="00C24E69">
      <w:pPr>
        <w:pStyle w:val="ListParagraph"/>
        <w:numPr>
          <w:ilvl w:val="1"/>
          <w:numId w:val="3"/>
        </w:numPr>
        <w:contextualSpacing w:val="0"/>
        <w:rPr>
          <w:rFonts w:cs="Arial"/>
          <w:szCs w:val="24"/>
        </w:rPr>
      </w:pPr>
      <w:r>
        <w:rPr>
          <w:rFonts w:cs="Arial"/>
          <w:szCs w:val="24"/>
        </w:rPr>
        <w:t xml:space="preserve">il n’est plus nécessaire </w:t>
      </w:r>
      <w:r w:rsidR="00976222">
        <w:rPr>
          <w:rFonts w:cs="Arial"/>
          <w:szCs w:val="24"/>
        </w:rPr>
        <w:t xml:space="preserve">d’exploiter </w:t>
      </w:r>
      <w:r w:rsidR="008615BE" w:rsidRPr="00C24E69">
        <w:rPr>
          <w:rFonts w:cs="Arial"/>
          <w:szCs w:val="24"/>
        </w:rPr>
        <w:t xml:space="preserve">un entrepôt d’attente dans </w:t>
      </w:r>
      <w:r w:rsidR="00976222">
        <w:rPr>
          <w:rFonts w:cs="Arial"/>
          <w:szCs w:val="24"/>
        </w:rPr>
        <w:t>la région</w:t>
      </w:r>
      <w:r w:rsidR="008615BE" w:rsidRPr="00C24E69">
        <w:rPr>
          <w:rFonts w:cs="Arial"/>
          <w:szCs w:val="24"/>
        </w:rPr>
        <w:t xml:space="preserve"> où </w:t>
      </w:r>
      <w:r w:rsidR="00976222">
        <w:rPr>
          <w:rFonts w:cs="Arial"/>
          <w:szCs w:val="24"/>
        </w:rPr>
        <w:t>est situé l’entrepôt</w:t>
      </w:r>
      <w:r w:rsidR="008615BE" w:rsidRPr="00C24E69">
        <w:rPr>
          <w:rFonts w:cs="Arial"/>
          <w:szCs w:val="24"/>
        </w:rPr>
        <w:t>;</w:t>
      </w:r>
    </w:p>
    <w:p w14:paraId="1D165EA9" w14:textId="0509EF68" w:rsidR="00C24E69" w:rsidRDefault="008615BE" w:rsidP="00C24E69">
      <w:pPr>
        <w:pStyle w:val="ListParagraph"/>
        <w:numPr>
          <w:ilvl w:val="1"/>
          <w:numId w:val="3"/>
        </w:numPr>
        <w:contextualSpacing w:val="0"/>
        <w:rPr>
          <w:rFonts w:cs="Arial"/>
          <w:szCs w:val="24"/>
        </w:rPr>
      </w:pPr>
      <w:r w:rsidRPr="00C24E69">
        <w:rPr>
          <w:rFonts w:cs="Arial"/>
          <w:szCs w:val="24"/>
        </w:rPr>
        <w:t xml:space="preserve">l’ASFC </w:t>
      </w:r>
      <w:r w:rsidR="00FC38C4">
        <w:rPr>
          <w:rFonts w:cs="Arial"/>
          <w:szCs w:val="24"/>
        </w:rPr>
        <w:t xml:space="preserve">ne peut </w:t>
      </w:r>
      <w:r w:rsidRPr="00C24E69">
        <w:rPr>
          <w:rFonts w:cs="Arial"/>
          <w:szCs w:val="24"/>
        </w:rPr>
        <w:t xml:space="preserve">plus fournir </w:t>
      </w:r>
      <w:r w:rsidR="00FC38C4">
        <w:rPr>
          <w:rFonts w:cs="Arial"/>
          <w:szCs w:val="24"/>
        </w:rPr>
        <w:t xml:space="preserve">à l’entrepôt </w:t>
      </w:r>
      <w:r w:rsidR="008F2EC0">
        <w:rPr>
          <w:rFonts w:cs="Arial"/>
          <w:szCs w:val="24"/>
        </w:rPr>
        <w:t xml:space="preserve">d’attente les </w:t>
      </w:r>
      <w:r w:rsidRPr="00C24E69">
        <w:rPr>
          <w:rFonts w:cs="Arial"/>
          <w:szCs w:val="24"/>
        </w:rPr>
        <w:t xml:space="preserve">services </w:t>
      </w:r>
      <w:r w:rsidR="008F2EC0">
        <w:rPr>
          <w:rFonts w:cs="Arial"/>
          <w:szCs w:val="24"/>
        </w:rPr>
        <w:t>de douane</w:t>
      </w:r>
      <w:r w:rsidRPr="00C24E69">
        <w:rPr>
          <w:rFonts w:cs="Arial"/>
          <w:szCs w:val="24"/>
        </w:rPr>
        <w:t>.</w:t>
      </w:r>
    </w:p>
    <w:p w14:paraId="0001660E" w14:textId="69321211" w:rsidR="008615BE" w:rsidRPr="00C24E69" w:rsidRDefault="008615BE" w:rsidP="00C24E69">
      <w:pPr>
        <w:pStyle w:val="ListParagraph"/>
        <w:numPr>
          <w:ilvl w:val="0"/>
          <w:numId w:val="3"/>
        </w:numPr>
        <w:contextualSpacing w:val="0"/>
        <w:rPr>
          <w:rFonts w:cs="Arial"/>
          <w:szCs w:val="24"/>
        </w:rPr>
      </w:pPr>
      <w:r w:rsidRPr="00C24E69">
        <w:rPr>
          <w:rFonts w:cs="Arial"/>
          <w:szCs w:val="24"/>
        </w:rPr>
        <w:t xml:space="preserve">Avant que le ministre n’annule un agrément pour les motifs susmentionnés, l’ASFC en avise l’exploitant dans le </w:t>
      </w:r>
      <w:r w:rsidR="008A1E82">
        <w:rPr>
          <w:rFonts w:cs="Arial"/>
          <w:szCs w:val="24"/>
        </w:rPr>
        <w:t xml:space="preserve">PCG </w:t>
      </w:r>
      <w:r w:rsidRPr="00C24E69">
        <w:rPr>
          <w:rFonts w:cs="Arial"/>
          <w:szCs w:val="24"/>
        </w:rPr>
        <w:t xml:space="preserve">90 jours avant la date d’annulation prévue. L’ASFC communique à l’exploitant tous les renseignements pertinents sur les motifs de l’annulation. Durant la période de 90 jours, l’exploitant peut fournir au bureau de l’ASFC dans le </w:t>
      </w:r>
      <w:r w:rsidR="008A1E82">
        <w:rPr>
          <w:rFonts w:cs="Arial"/>
          <w:szCs w:val="24"/>
        </w:rPr>
        <w:t>PCG</w:t>
      </w:r>
      <w:r w:rsidRPr="00C24E69">
        <w:rPr>
          <w:rFonts w:cs="Arial"/>
          <w:szCs w:val="24"/>
        </w:rPr>
        <w:t xml:space="preserve">, comme indiqué dans l’avis d’annulation de l’ASFC, les renseignements expliquant les raisons pour lesquelles l’agrément ne devrait pas être annulé. L’ASFC tient compte de ces renseignements et l’avis d’annulation est retiré si le ministre est </w:t>
      </w:r>
      <w:r w:rsidR="00FA30E4">
        <w:rPr>
          <w:rFonts w:cs="Arial"/>
          <w:szCs w:val="24"/>
        </w:rPr>
        <w:t>d’avis que le motif</w:t>
      </w:r>
      <w:r w:rsidRPr="00C24E69">
        <w:rPr>
          <w:rFonts w:cs="Arial"/>
          <w:szCs w:val="24"/>
        </w:rPr>
        <w:t xml:space="preserve"> de l’annulation n’existe plus.</w:t>
      </w:r>
    </w:p>
    <w:p w14:paraId="50B4DC22" w14:textId="77777777" w:rsidR="008615BE" w:rsidRPr="008615BE" w:rsidRDefault="008615BE" w:rsidP="00C24E69">
      <w:pPr>
        <w:pStyle w:val="Heading3"/>
      </w:pPr>
      <w:bookmarkStart w:id="46" w:name="_bookmark16"/>
      <w:bookmarkStart w:id="47" w:name="ChangeofOwnership"/>
      <w:bookmarkStart w:id="48" w:name="_Changement_de_propriétaire/contrat"/>
      <w:bookmarkEnd w:id="46"/>
      <w:bookmarkEnd w:id="47"/>
      <w:bookmarkEnd w:id="48"/>
      <w:r w:rsidRPr="008615BE">
        <w:t>Changement de propriétaire/contrat de location</w:t>
      </w:r>
    </w:p>
    <w:p w14:paraId="04530ECE" w14:textId="1F75DF57" w:rsidR="00C24E69" w:rsidRDefault="008615BE" w:rsidP="00C24E69">
      <w:pPr>
        <w:pStyle w:val="ListParagraph"/>
        <w:numPr>
          <w:ilvl w:val="0"/>
          <w:numId w:val="3"/>
        </w:numPr>
        <w:contextualSpacing w:val="0"/>
        <w:rPr>
          <w:rFonts w:cs="Arial"/>
          <w:szCs w:val="24"/>
        </w:rPr>
      </w:pPr>
      <w:r w:rsidRPr="00C24E69">
        <w:rPr>
          <w:rFonts w:cs="Arial"/>
          <w:szCs w:val="24"/>
        </w:rPr>
        <w:t xml:space="preserve">Lorsque l’exploitant envisage un transfert de propriété ou de contrôle, il en avise l’ASFC dans le </w:t>
      </w:r>
      <w:r w:rsidR="008A1E82">
        <w:rPr>
          <w:rFonts w:cs="Arial"/>
          <w:szCs w:val="24"/>
        </w:rPr>
        <w:t xml:space="preserve">PCG </w:t>
      </w:r>
      <w:r w:rsidRPr="00C24E69">
        <w:rPr>
          <w:rFonts w:cs="Arial"/>
          <w:szCs w:val="24"/>
        </w:rPr>
        <w:t>au moins 60 jours avant la date d’entrée en vigueur du transfert envisagé.</w:t>
      </w:r>
    </w:p>
    <w:p w14:paraId="01DD3ACD" w14:textId="2C16BD51" w:rsidR="00C24E69" w:rsidRDefault="008615BE" w:rsidP="00C24E69">
      <w:pPr>
        <w:pStyle w:val="ListParagraph"/>
        <w:numPr>
          <w:ilvl w:val="0"/>
          <w:numId w:val="3"/>
        </w:numPr>
        <w:contextualSpacing w:val="0"/>
        <w:rPr>
          <w:rFonts w:cs="Arial"/>
          <w:szCs w:val="24"/>
        </w:rPr>
      </w:pPr>
      <w:r w:rsidRPr="00C24E69">
        <w:rPr>
          <w:rFonts w:cs="Arial"/>
          <w:szCs w:val="24"/>
        </w:rPr>
        <w:t>S’il y a transfert de propriété ou de contrôle, l’ASFC annule l’agrément d’exploitation</w:t>
      </w:r>
      <w:r w:rsidR="008A1E82">
        <w:rPr>
          <w:rFonts w:cs="Arial"/>
          <w:szCs w:val="24"/>
        </w:rPr>
        <w:t xml:space="preserve"> existante</w:t>
      </w:r>
      <w:r w:rsidRPr="00C24E69">
        <w:rPr>
          <w:rFonts w:cs="Arial"/>
          <w:szCs w:val="24"/>
        </w:rPr>
        <w:t xml:space="preserve"> de l’entrepôt d’attente. Le changement de propriété ou de contrôle de l’entrepôt requiert la présentation d’une nouvelle demande pour exploiter </w:t>
      </w:r>
      <w:r w:rsidRPr="00880932">
        <w:rPr>
          <w:rFonts w:cs="Arial"/>
          <w:color w:val="000000" w:themeColor="text1"/>
          <w:szCs w:val="24"/>
        </w:rPr>
        <w:t xml:space="preserve">l’entrepôt d’attente. Le nouveau propriétaire, le locataire ou la partie prenant le contrôle de l’entrepôt doit </w:t>
      </w:r>
      <w:r w:rsidR="00CE60D4" w:rsidRPr="00880932">
        <w:rPr>
          <w:rFonts w:cs="Arial"/>
          <w:color w:val="000000" w:themeColor="text1"/>
          <w:szCs w:val="24"/>
        </w:rPr>
        <w:t xml:space="preserve">créer un </w:t>
      </w:r>
      <w:r w:rsidR="00A42C0B">
        <w:rPr>
          <w:rFonts w:cs="Arial"/>
          <w:color w:val="000000" w:themeColor="text1"/>
          <w:szCs w:val="24"/>
        </w:rPr>
        <w:t>profil</w:t>
      </w:r>
      <w:r w:rsidR="00CE60D4" w:rsidRPr="00880932">
        <w:rPr>
          <w:rFonts w:cs="Arial"/>
          <w:color w:val="000000" w:themeColor="text1"/>
          <w:szCs w:val="24"/>
        </w:rPr>
        <w:t xml:space="preserve"> et faire </w:t>
      </w:r>
      <w:r w:rsidRPr="00880932">
        <w:rPr>
          <w:rFonts w:cs="Arial"/>
          <w:color w:val="000000" w:themeColor="text1"/>
          <w:szCs w:val="24"/>
        </w:rPr>
        <w:t xml:space="preserve">une nouvelle demande d’agrément dans le </w:t>
      </w:r>
      <w:r w:rsidR="00797729">
        <w:rPr>
          <w:rFonts w:cs="Arial"/>
          <w:color w:val="000000" w:themeColor="text1"/>
          <w:szCs w:val="24"/>
        </w:rPr>
        <w:t>PCG</w:t>
      </w:r>
      <w:r w:rsidRPr="00880932">
        <w:rPr>
          <w:rFonts w:cs="Arial"/>
          <w:color w:val="000000" w:themeColor="text1"/>
          <w:szCs w:val="24"/>
        </w:rPr>
        <w:t xml:space="preserve"> en remplissant et en télé</w:t>
      </w:r>
      <w:r w:rsidR="00A42C0B">
        <w:rPr>
          <w:rFonts w:cs="Arial"/>
          <w:color w:val="000000" w:themeColor="text1"/>
          <w:szCs w:val="24"/>
        </w:rPr>
        <w:t>versant</w:t>
      </w:r>
      <w:r w:rsidRPr="00880932">
        <w:rPr>
          <w:rFonts w:cs="Arial"/>
          <w:color w:val="000000" w:themeColor="text1"/>
          <w:szCs w:val="24"/>
        </w:rPr>
        <w:t xml:space="preserve"> le formulaire </w:t>
      </w:r>
      <w:r w:rsidR="00CE60D4" w:rsidRPr="00880932">
        <w:rPr>
          <w:rFonts w:cs="Arial"/>
          <w:color w:val="000000" w:themeColor="text1"/>
          <w:szCs w:val="24"/>
        </w:rPr>
        <w:t xml:space="preserve">BSF897 </w:t>
      </w:r>
      <w:r w:rsidRPr="00880932">
        <w:rPr>
          <w:rFonts w:cs="Arial"/>
          <w:color w:val="000000" w:themeColor="text1"/>
          <w:szCs w:val="24"/>
        </w:rPr>
        <w:t>et en soumettant tous les documents exigés au paragraphe 10 ci</w:t>
      </w:r>
      <w:r w:rsidRPr="00880932">
        <w:rPr>
          <w:rFonts w:cs="Arial"/>
          <w:color w:val="000000" w:themeColor="text1"/>
          <w:szCs w:val="24"/>
        </w:rPr>
        <w:noBreakHyphen/>
        <w:t xml:space="preserve">dessus. Si </w:t>
      </w:r>
      <w:r w:rsidRPr="00C24E69">
        <w:rPr>
          <w:rFonts w:cs="Arial"/>
          <w:szCs w:val="24"/>
        </w:rPr>
        <w:t>le demandeur ne modifie pas la structure physique de l’installation, il pourrait être dispensé de l’obligation de présenter un plan du bâtiment. L’ASFC traitera la demande de la même manière qu’une demande pour un nouvel entrepôt.</w:t>
      </w:r>
    </w:p>
    <w:p w14:paraId="607C5CBE" w14:textId="4476BF05" w:rsidR="008615BE" w:rsidRPr="00C24E69" w:rsidRDefault="007B39E5" w:rsidP="00C24E69">
      <w:pPr>
        <w:pStyle w:val="ListParagraph"/>
        <w:numPr>
          <w:ilvl w:val="0"/>
          <w:numId w:val="3"/>
        </w:numPr>
        <w:contextualSpacing w:val="0"/>
        <w:rPr>
          <w:rFonts w:cs="Arial"/>
          <w:szCs w:val="24"/>
        </w:rPr>
      </w:pPr>
      <w:r>
        <w:rPr>
          <w:rFonts w:cs="Arial"/>
          <w:szCs w:val="24"/>
        </w:rPr>
        <w:lastRenderedPageBreak/>
        <w:t xml:space="preserve">Il est interdit de vendre ou de transférer </w:t>
      </w:r>
      <w:r w:rsidR="003559B0">
        <w:rPr>
          <w:rFonts w:cs="Arial"/>
          <w:szCs w:val="24"/>
        </w:rPr>
        <w:t>un</w:t>
      </w:r>
      <w:r w:rsidR="008615BE" w:rsidRPr="00C24E69">
        <w:rPr>
          <w:rFonts w:cs="Arial"/>
          <w:szCs w:val="24"/>
        </w:rPr>
        <w:t xml:space="preserve"> agrément d’entrepôt d’attente </w:t>
      </w:r>
      <w:r w:rsidR="003559B0">
        <w:rPr>
          <w:rFonts w:cs="Arial"/>
          <w:szCs w:val="24"/>
        </w:rPr>
        <w:t>à un tiers</w:t>
      </w:r>
      <w:r w:rsidR="008615BE" w:rsidRPr="00C24E69">
        <w:rPr>
          <w:rFonts w:cs="Arial"/>
          <w:szCs w:val="24"/>
        </w:rPr>
        <w:t>. Une nouvelle demande doit être soumise et faire l’objet d’une vérification des exigences réglementaires avant que le changement de propriétaire n’ait lieu. Tous les documents justificatifs doivent être télé</w:t>
      </w:r>
      <w:r w:rsidR="003559B0">
        <w:rPr>
          <w:rFonts w:cs="Arial"/>
          <w:szCs w:val="24"/>
        </w:rPr>
        <w:t>versés</w:t>
      </w:r>
      <w:r w:rsidR="008615BE" w:rsidRPr="00C24E69">
        <w:rPr>
          <w:rFonts w:cs="Arial"/>
          <w:szCs w:val="24"/>
        </w:rPr>
        <w:t xml:space="preserve"> dans le </w:t>
      </w:r>
      <w:r w:rsidR="008A1E82">
        <w:rPr>
          <w:rFonts w:cs="Arial"/>
          <w:szCs w:val="24"/>
        </w:rPr>
        <w:t xml:space="preserve">PCG </w:t>
      </w:r>
      <w:r w:rsidR="008615BE" w:rsidRPr="00C24E69">
        <w:rPr>
          <w:rFonts w:cs="Arial"/>
          <w:szCs w:val="24"/>
        </w:rPr>
        <w:t>pour prouver le changement de propriétaire.</w:t>
      </w:r>
    </w:p>
    <w:p w14:paraId="1A68144C" w14:textId="77777777" w:rsidR="008615BE" w:rsidRPr="008615BE" w:rsidRDefault="008615BE" w:rsidP="00005265">
      <w:pPr>
        <w:pStyle w:val="Heading3"/>
      </w:pPr>
      <w:bookmarkStart w:id="49" w:name="_bookmark17"/>
      <w:bookmarkStart w:id="50" w:name="ChangeofOwnershipBW"/>
      <w:bookmarkStart w:id="51" w:name="_Changement_de_propriétaire"/>
      <w:bookmarkStart w:id="52" w:name="_bookmark18"/>
      <w:bookmarkStart w:id="53" w:name="paragraph37"/>
      <w:bookmarkStart w:id="54" w:name="Subleasing"/>
      <w:bookmarkStart w:id="55" w:name="_Sous-location_d’un_entrepôt"/>
      <w:bookmarkStart w:id="56" w:name="paragraph38"/>
      <w:bookmarkEnd w:id="49"/>
      <w:bookmarkEnd w:id="50"/>
      <w:bookmarkEnd w:id="51"/>
      <w:bookmarkEnd w:id="52"/>
      <w:bookmarkEnd w:id="53"/>
      <w:bookmarkEnd w:id="54"/>
      <w:bookmarkEnd w:id="55"/>
      <w:r w:rsidRPr="008615BE">
        <w:t>Sous-location d’un entrepôt d’attente</w:t>
      </w:r>
    </w:p>
    <w:p w14:paraId="4D64AE0B" w14:textId="616336EA" w:rsidR="00005265" w:rsidRDefault="008615BE" w:rsidP="00005265">
      <w:pPr>
        <w:pStyle w:val="ListParagraph"/>
        <w:numPr>
          <w:ilvl w:val="0"/>
          <w:numId w:val="3"/>
        </w:numPr>
        <w:contextualSpacing w:val="0"/>
        <w:rPr>
          <w:rFonts w:cs="Arial"/>
          <w:szCs w:val="24"/>
        </w:rPr>
      </w:pPr>
      <w:r w:rsidRPr="00005265">
        <w:rPr>
          <w:rFonts w:cs="Arial"/>
          <w:szCs w:val="24"/>
        </w:rPr>
        <w:t>L</w:t>
      </w:r>
      <w:r w:rsidR="00470ED5">
        <w:rPr>
          <w:rFonts w:cs="Arial"/>
          <w:szCs w:val="24"/>
        </w:rPr>
        <w:t>’</w:t>
      </w:r>
      <w:r w:rsidRPr="00005265">
        <w:rPr>
          <w:rFonts w:cs="Arial"/>
          <w:szCs w:val="24"/>
        </w:rPr>
        <w:t xml:space="preserve">exploitant </w:t>
      </w:r>
      <w:r w:rsidR="00470ED5">
        <w:rPr>
          <w:rFonts w:cs="Arial"/>
          <w:szCs w:val="24"/>
        </w:rPr>
        <w:t xml:space="preserve">d’un </w:t>
      </w:r>
      <w:r w:rsidRPr="00005265">
        <w:rPr>
          <w:rFonts w:cs="Arial"/>
          <w:szCs w:val="24"/>
        </w:rPr>
        <w:t>entrepôt d’attente peut sous</w:t>
      </w:r>
      <w:r w:rsidRPr="00005265">
        <w:rPr>
          <w:rFonts w:cs="Arial"/>
          <w:szCs w:val="24"/>
        </w:rPr>
        <w:noBreakHyphen/>
        <w:t xml:space="preserve">louer une partie de </w:t>
      </w:r>
      <w:r w:rsidR="00470ED5">
        <w:rPr>
          <w:rFonts w:cs="Arial"/>
          <w:szCs w:val="24"/>
        </w:rPr>
        <w:t>son</w:t>
      </w:r>
      <w:r w:rsidRPr="00005265">
        <w:rPr>
          <w:rFonts w:cs="Arial"/>
          <w:szCs w:val="24"/>
        </w:rPr>
        <w:t xml:space="preserve"> entrepôt à une ou à des personnes ayant obtenu un agrément </w:t>
      </w:r>
      <w:r w:rsidR="004747ED">
        <w:rPr>
          <w:rFonts w:cs="Arial"/>
          <w:szCs w:val="24"/>
        </w:rPr>
        <w:t>d’exploitation d’</w:t>
      </w:r>
      <w:r w:rsidRPr="00005265">
        <w:rPr>
          <w:rFonts w:cs="Arial"/>
          <w:szCs w:val="24"/>
        </w:rPr>
        <w:t>un entrepôt d’attente.</w:t>
      </w:r>
    </w:p>
    <w:p w14:paraId="0FCFEBEF" w14:textId="363E8D6B" w:rsidR="00005265" w:rsidRDefault="008615BE" w:rsidP="00005265">
      <w:pPr>
        <w:pStyle w:val="ListParagraph"/>
        <w:numPr>
          <w:ilvl w:val="0"/>
          <w:numId w:val="3"/>
        </w:numPr>
        <w:contextualSpacing w:val="0"/>
        <w:rPr>
          <w:rFonts w:cs="Arial"/>
          <w:szCs w:val="24"/>
        </w:rPr>
      </w:pPr>
      <w:r w:rsidRPr="00005265">
        <w:rPr>
          <w:rFonts w:cs="Arial"/>
          <w:szCs w:val="24"/>
        </w:rPr>
        <w:t>Dans les cas où les modalités de l’agrément d’un entrepôt d’attente ne permettent que la réception de marchandises arrivant par véhicules à moteur utilisés à des fins commerciales, l’exploitant peut louer à tout transporteur qui en fait la demande une partie devant servir exclusivement à l’exploitation par celui</w:t>
      </w:r>
      <w:r w:rsidRPr="00005265">
        <w:rPr>
          <w:rFonts w:cs="Arial"/>
          <w:szCs w:val="24"/>
        </w:rPr>
        <w:noBreakHyphen/>
        <w:t>ci d’un entrepôt d’attente distinct. En pareille situation, l’exploitant d’un entrepôt d’attente peut sous</w:t>
      </w:r>
      <w:r w:rsidRPr="00005265">
        <w:rPr>
          <w:rFonts w:cs="Arial"/>
          <w:szCs w:val="24"/>
        </w:rPr>
        <w:noBreakHyphen/>
        <w:t xml:space="preserve">louer une partie de son entrepôt à une ou plusieurs personnes ayant obtenu un agrément </w:t>
      </w:r>
      <w:r w:rsidR="004747ED">
        <w:rPr>
          <w:rFonts w:cs="Arial"/>
          <w:szCs w:val="24"/>
        </w:rPr>
        <w:t>d’</w:t>
      </w:r>
      <w:r w:rsidRPr="00005265">
        <w:rPr>
          <w:rFonts w:cs="Arial"/>
          <w:szCs w:val="24"/>
        </w:rPr>
        <w:t>exploitation d’un tel entrepôt.</w:t>
      </w:r>
    </w:p>
    <w:p w14:paraId="6D0D3E33" w14:textId="1FCD8D3C" w:rsidR="00005265" w:rsidRDefault="008615BE" w:rsidP="00005265">
      <w:pPr>
        <w:pStyle w:val="ListParagraph"/>
        <w:numPr>
          <w:ilvl w:val="0"/>
          <w:numId w:val="3"/>
        </w:numPr>
        <w:contextualSpacing w:val="0"/>
        <w:rPr>
          <w:rFonts w:cs="Arial"/>
          <w:szCs w:val="24"/>
        </w:rPr>
      </w:pPr>
      <w:r w:rsidRPr="00005265">
        <w:rPr>
          <w:rFonts w:cs="Arial"/>
          <w:szCs w:val="24"/>
        </w:rPr>
        <w:t>Afin d’obtenir l’agrément requis pour</w:t>
      </w:r>
      <w:r w:rsidR="003E4F7B">
        <w:rPr>
          <w:rFonts w:cs="Arial"/>
          <w:szCs w:val="24"/>
        </w:rPr>
        <w:t xml:space="preserve"> exploiter</w:t>
      </w:r>
      <w:r w:rsidRPr="00005265">
        <w:rPr>
          <w:rFonts w:cs="Arial"/>
          <w:szCs w:val="24"/>
        </w:rPr>
        <w:t xml:space="preserve"> un entrepôt d’attente, le locataire éventuel, appelé « preneur à bail</w:t>
      </w:r>
      <w:r w:rsidR="00010382">
        <w:rPr>
          <w:rFonts w:cs="Arial"/>
          <w:szCs w:val="24"/>
        </w:rPr>
        <w:t> </w:t>
      </w:r>
      <w:r w:rsidRPr="00005265">
        <w:rPr>
          <w:rFonts w:cs="Arial"/>
          <w:szCs w:val="24"/>
        </w:rPr>
        <w:t>», doit remplir le formulaire </w:t>
      </w:r>
      <w:r w:rsidR="00544364">
        <w:rPr>
          <w:rFonts w:cs="Arial"/>
          <w:szCs w:val="24"/>
        </w:rPr>
        <w:t xml:space="preserve">BSF897 </w:t>
      </w:r>
      <w:r w:rsidRPr="00005265">
        <w:rPr>
          <w:rFonts w:cs="Arial"/>
          <w:szCs w:val="24"/>
        </w:rPr>
        <w:t xml:space="preserve">et le fournir à l’exploitant, aussi appelé le « bailleur », afin qu’il le soumette à l’ASFC dans le </w:t>
      </w:r>
      <w:r w:rsidR="00F73BF6">
        <w:rPr>
          <w:rFonts w:cs="Arial"/>
          <w:szCs w:val="24"/>
        </w:rPr>
        <w:t>PCG</w:t>
      </w:r>
      <w:r w:rsidRPr="00005265">
        <w:rPr>
          <w:rFonts w:cs="Arial"/>
          <w:szCs w:val="24"/>
        </w:rPr>
        <w:t xml:space="preserve">. Sa demande </w:t>
      </w:r>
      <w:r w:rsidR="008A127B">
        <w:rPr>
          <w:rFonts w:cs="Arial"/>
          <w:szCs w:val="24"/>
        </w:rPr>
        <w:t xml:space="preserve">dûment remplie </w:t>
      </w:r>
      <w:r w:rsidRPr="00005265">
        <w:rPr>
          <w:rFonts w:cs="Arial"/>
          <w:szCs w:val="24"/>
        </w:rPr>
        <w:t>doit être télé</w:t>
      </w:r>
      <w:r w:rsidR="00091F5B">
        <w:rPr>
          <w:rFonts w:cs="Arial"/>
          <w:szCs w:val="24"/>
        </w:rPr>
        <w:t>versée</w:t>
      </w:r>
      <w:r w:rsidRPr="00005265">
        <w:rPr>
          <w:rFonts w:cs="Arial"/>
          <w:szCs w:val="24"/>
        </w:rPr>
        <w:t xml:space="preserve">, accompagnée des </w:t>
      </w:r>
      <w:r w:rsidR="00091F5B">
        <w:rPr>
          <w:rFonts w:cs="Arial"/>
          <w:szCs w:val="24"/>
        </w:rPr>
        <w:t>éléments</w:t>
      </w:r>
      <w:r w:rsidRPr="00005265">
        <w:rPr>
          <w:rFonts w:cs="Arial"/>
          <w:szCs w:val="24"/>
        </w:rPr>
        <w:t xml:space="preserve"> suivants</w:t>
      </w:r>
      <w:r w:rsidR="00091F5B">
        <w:rPr>
          <w:rFonts w:cs="Arial"/>
          <w:szCs w:val="24"/>
        </w:rPr>
        <w:t> </w:t>
      </w:r>
      <w:r w:rsidRPr="00005265">
        <w:rPr>
          <w:rFonts w:cs="Arial"/>
          <w:szCs w:val="24"/>
        </w:rPr>
        <w:t>:</w:t>
      </w:r>
    </w:p>
    <w:p w14:paraId="1CCCBCB6" w14:textId="1D375DDB" w:rsidR="00005265" w:rsidRDefault="00700F61" w:rsidP="00005265">
      <w:pPr>
        <w:pStyle w:val="ListParagraph"/>
        <w:numPr>
          <w:ilvl w:val="1"/>
          <w:numId w:val="3"/>
        </w:numPr>
        <w:contextualSpacing w:val="0"/>
        <w:rPr>
          <w:rFonts w:cs="Arial"/>
          <w:szCs w:val="24"/>
        </w:rPr>
      </w:pPr>
      <w:r>
        <w:rPr>
          <w:rFonts w:cs="Arial"/>
          <w:szCs w:val="24"/>
        </w:rPr>
        <w:t>le schéma</w:t>
      </w:r>
      <w:r w:rsidR="008615BE" w:rsidRPr="00005265">
        <w:rPr>
          <w:rFonts w:cs="Arial"/>
          <w:szCs w:val="24"/>
        </w:rPr>
        <w:t xml:space="preserve"> du plan d’implantation désignant la zone louée. La superficie de cette zone doit être suffisante pour répondre aux besoins opérationnels d’un entrepôt d’attente;</w:t>
      </w:r>
    </w:p>
    <w:p w14:paraId="49F676C7" w14:textId="77777777" w:rsidR="00005265" w:rsidRDefault="008615BE" w:rsidP="00005265">
      <w:pPr>
        <w:pStyle w:val="ListParagraph"/>
        <w:numPr>
          <w:ilvl w:val="1"/>
          <w:numId w:val="3"/>
        </w:numPr>
        <w:contextualSpacing w:val="0"/>
        <w:rPr>
          <w:rFonts w:cs="Arial"/>
          <w:szCs w:val="24"/>
        </w:rPr>
      </w:pPr>
      <w:r w:rsidRPr="00005265">
        <w:rPr>
          <w:rFonts w:cs="Arial"/>
          <w:szCs w:val="24"/>
        </w:rPr>
        <w:t xml:space="preserve">une garantie financière. </w:t>
      </w:r>
    </w:p>
    <w:p w14:paraId="74FAC0D0" w14:textId="71D225C8" w:rsidR="00005265" w:rsidRDefault="008615BE" w:rsidP="00005265">
      <w:pPr>
        <w:pStyle w:val="ListParagraph"/>
        <w:numPr>
          <w:ilvl w:val="0"/>
          <w:numId w:val="3"/>
        </w:numPr>
        <w:contextualSpacing w:val="0"/>
        <w:rPr>
          <w:rFonts w:cs="Arial"/>
          <w:szCs w:val="24"/>
        </w:rPr>
      </w:pPr>
      <w:r w:rsidRPr="00005265">
        <w:rPr>
          <w:rFonts w:cs="Arial"/>
          <w:szCs w:val="24"/>
        </w:rPr>
        <w:t xml:space="preserve">L’ASFC </w:t>
      </w:r>
      <w:r w:rsidR="007E218C">
        <w:rPr>
          <w:rFonts w:cs="Arial"/>
          <w:szCs w:val="24"/>
        </w:rPr>
        <w:t>traitera</w:t>
      </w:r>
      <w:r w:rsidRPr="00005265">
        <w:rPr>
          <w:rFonts w:cs="Arial"/>
          <w:szCs w:val="24"/>
        </w:rPr>
        <w:t xml:space="preserve"> la demande selon la procédure utilisée pour une nouvelle demande d’exploitation d’un entrepôt d’attente.</w:t>
      </w:r>
    </w:p>
    <w:p w14:paraId="02F5771A" w14:textId="30654214" w:rsidR="008615BE" w:rsidRPr="00005265" w:rsidRDefault="008615BE" w:rsidP="00005265">
      <w:pPr>
        <w:pStyle w:val="ListParagraph"/>
        <w:numPr>
          <w:ilvl w:val="0"/>
          <w:numId w:val="3"/>
        </w:numPr>
        <w:contextualSpacing w:val="0"/>
        <w:rPr>
          <w:rFonts w:cs="Arial"/>
          <w:szCs w:val="24"/>
        </w:rPr>
      </w:pPr>
      <w:r w:rsidRPr="00005265">
        <w:rPr>
          <w:rFonts w:cs="Arial"/>
          <w:szCs w:val="24"/>
        </w:rPr>
        <w:t>Le bailleur d’entrepôt d’attente doit aviser par écrit l’ASFC de tout projet de déplacement, de réduction ou d’agrandissement des zones sous</w:t>
      </w:r>
      <w:r w:rsidRPr="00005265">
        <w:rPr>
          <w:rFonts w:cs="Arial"/>
          <w:szCs w:val="24"/>
        </w:rPr>
        <w:noBreakHyphen/>
        <w:t xml:space="preserve">louées ou de tout autre changement touchant ces zones, y compris les changements découlant d’une </w:t>
      </w:r>
      <w:r w:rsidRPr="00005265">
        <w:rPr>
          <w:rFonts w:cs="Arial"/>
          <w:szCs w:val="24"/>
        </w:rPr>
        <w:lastRenderedPageBreak/>
        <w:t>sous</w:t>
      </w:r>
      <w:r w:rsidRPr="00005265">
        <w:rPr>
          <w:rFonts w:cs="Arial"/>
          <w:szCs w:val="24"/>
        </w:rPr>
        <w:noBreakHyphen/>
        <w:t xml:space="preserve">location dans </w:t>
      </w:r>
      <w:r w:rsidR="007E218C">
        <w:rPr>
          <w:rFonts w:cs="Arial"/>
          <w:szCs w:val="24"/>
        </w:rPr>
        <w:t>son</w:t>
      </w:r>
      <w:r w:rsidRPr="00005265">
        <w:rPr>
          <w:rFonts w:cs="Arial"/>
          <w:szCs w:val="24"/>
        </w:rPr>
        <w:t xml:space="preserve"> entrepôt. Il doit soumettre un exemplaire du plan d’implantation modifié dans le </w:t>
      </w:r>
      <w:r w:rsidR="00F73BF6">
        <w:rPr>
          <w:rFonts w:cs="Arial"/>
          <w:szCs w:val="24"/>
        </w:rPr>
        <w:t xml:space="preserve">PCG </w:t>
      </w:r>
      <w:r w:rsidRPr="00005265">
        <w:rPr>
          <w:rFonts w:cs="Arial"/>
          <w:szCs w:val="24"/>
        </w:rPr>
        <w:t>et, si les changements sont approuvés par l’ASFC, il n’</w:t>
      </w:r>
      <w:r w:rsidR="007E218C">
        <w:rPr>
          <w:rFonts w:cs="Arial"/>
          <w:szCs w:val="24"/>
        </w:rPr>
        <w:t>a</w:t>
      </w:r>
      <w:r w:rsidRPr="00005265">
        <w:rPr>
          <w:rFonts w:cs="Arial"/>
          <w:szCs w:val="24"/>
        </w:rPr>
        <w:t xml:space="preserve"> pas besoin de présenter une demande modifiée.</w:t>
      </w:r>
      <w:bookmarkEnd w:id="56"/>
    </w:p>
    <w:p w14:paraId="3AFDFAAD" w14:textId="77777777" w:rsidR="008615BE" w:rsidRPr="008615BE" w:rsidRDefault="008615BE" w:rsidP="00005265">
      <w:pPr>
        <w:pStyle w:val="Heading3"/>
      </w:pPr>
      <w:bookmarkStart w:id="57" w:name="_bookmark19"/>
      <w:bookmarkStart w:id="58" w:name="ResponsibilitiesofLicensee"/>
      <w:bookmarkStart w:id="59" w:name="_bookmark20"/>
      <w:bookmarkStart w:id="60" w:name="Relocation"/>
      <w:bookmarkStart w:id="61" w:name="_Déplacement_d’un_entrepôt"/>
      <w:bookmarkEnd w:id="57"/>
      <w:bookmarkEnd w:id="58"/>
      <w:bookmarkEnd w:id="59"/>
      <w:bookmarkEnd w:id="60"/>
      <w:bookmarkEnd w:id="61"/>
      <w:r w:rsidRPr="008615BE">
        <w:t>Déplacement d’un entrepôt</w:t>
      </w:r>
    </w:p>
    <w:p w14:paraId="319365F6" w14:textId="65B3D556" w:rsidR="00005265" w:rsidRDefault="008615BE" w:rsidP="00005265">
      <w:pPr>
        <w:pStyle w:val="ListParagraph"/>
        <w:numPr>
          <w:ilvl w:val="0"/>
          <w:numId w:val="3"/>
        </w:numPr>
        <w:contextualSpacing w:val="0"/>
        <w:rPr>
          <w:rFonts w:cs="Arial"/>
          <w:szCs w:val="24"/>
        </w:rPr>
      </w:pPr>
      <w:r w:rsidRPr="00005265">
        <w:rPr>
          <w:rFonts w:cs="Arial"/>
          <w:szCs w:val="24"/>
        </w:rPr>
        <w:t>Lorsqu’un changement d’emplacement est envisagé, l’exploitant remplit et télé</w:t>
      </w:r>
      <w:r w:rsidR="00E711C9">
        <w:rPr>
          <w:rFonts w:cs="Arial"/>
          <w:szCs w:val="24"/>
        </w:rPr>
        <w:t>verse</w:t>
      </w:r>
      <w:r w:rsidRPr="00005265">
        <w:rPr>
          <w:rFonts w:cs="Arial"/>
          <w:szCs w:val="24"/>
        </w:rPr>
        <w:t xml:space="preserve"> </w:t>
      </w:r>
      <w:r w:rsidR="00E711C9">
        <w:rPr>
          <w:rFonts w:cs="Arial"/>
          <w:szCs w:val="24"/>
        </w:rPr>
        <w:t>le</w:t>
      </w:r>
      <w:r w:rsidRPr="00005265">
        <w:rPr>
          <w:rFonts w:cs="Arial"/>
          <w:szCs w:val="24"/>
        </w:rPr>
        <w:t xml:space="preserve"> formulaire </w:t>
      </w:r>
      <w:r w:rsidR="00ED2742">
        <w:rPr>
          <w:rFonts w:cs="Arial"/>
          <w:szCs w:val="24"/>
        </w:rPr>
        <w:t xml:space="preserve">BSF897 </w:t>
      </w:r>
      <w:r w:rsidRPr="00005265">
        <w:rPr>
          <w:rFonts w:cs="Arial"/>
          <w:szCs w:val="24"/>
        </w:rPr>
        <w:t xml:space="preserve">dans le </w:t>
      </w:r>
      <w:r w:rsidR="00F73BF6">
        <w:rPr>
          <w:rFonts w:cs="Arial"/>
          <w:szCs w:val="24"/>
        </w:rPr>
        <w:t xml:space="preserve">PCG </w:t>
      </w:r>
      <w:r w:rsidRPr="00005265">
        <w:rPr>
          <w:rFonts w:cs="Arial"/>
          <w:szCs w:val="24"/>
        </w:rPr>
        <w:t>au moins 60 jours avant la date du déplacement prévu.</w:t>
      </w:r>
    </w:p>
    <w:p w14:paraId="140C632A" w14:textId="3F0C2DD1" w:rsidR="00005265" w:rsidRDefault="008615BE" w:rsidP="00005265">
      <w:pPr>
        <w:pStyle w:val="ListParagraph"/>
        <w:numPr>
          <w:ilvl w:val="0"/>
          <w:numId w:val="3"/>
        </w:numPr>
        <w:contextualSpacing w:val="0"/>
        <w:rPr>
          <w:rFonts w:cs="Arial"/>
          <w:szCs w:val="24"/>
        </w:rPr>
      </w:pPr>
      <w:r w:rsidRPr="00005265">
        <w:rPr>
          <w:rFonts w:cs="Arial"/>
          <w:szCs w:val="24"/>
        </w:rPr>
        <w:t xml:space="preserve">L’ASFC traite la demande de déplacement de la même manière qu’une </w:t>
      </w:r>
      <w:r w:rsidR="00D911D1">
        <w:rPr>
          <w:rFonts w:cs="Arial"/>
          <w:szCs w:val="24"/>
        </w:rPr>
        <w:t xml:space="preserve">nouvelle </w:t>
      </w:r>
      <w:r w:rsidRPr="00005265">
        <w:rPr>
          <w:rFonts w:cs="Arial"/>
          <w:szCs w:val="24"/>
        </w:rPr>
        <w:t xml:space="preserve">demande. Si l’ASFC l’approuve, un nouvel agrément est octroyé pour l’emplacement en question. L’exploitant doit déposer une nouvelle garantie ou un avenant à la garantie financière existante indiquant la nouvelle adresse de l’entrepôt. </w:t>
      </w:r>
    </w:p>
    <w:p w14:paraId="5B731463" w14:textId="51468224" w:rsidR="00005265" w:rsidRDefault="008615BE" w:rsidP="00005265">
      <w:pPr>
        <w:pStyle w:val="ListParagraph"/>
        <w:numPr>
          <w:ilvl w:val="0"/>
          <w:numId w:val="3"/>
        </w:numPr>
        <w:contextualSpacing w:val="0"/>
        <w:rPr>
          <w:rFonts w:cs="Arial"/>
          <w:szCs w:val="24"/>
        </w:rPr>
      </w:pPr>
      <w:r w:rsidRPr="00005265">
        <w:rPr>
          <w:rFonts w:cs="Arial"/>
          <w:szCs w:val="24"/>
        </w:rPr>
        <w:t xml:space="preserve">Si l’exploitant déplace les opérations de son entrepôt d’attente avant d’avoir obtenu une autorisation écrite de l’ASFC, l’Agence peut annuler l’agrément qui lui a été octroyé pour </w:t>
      </w:r>
      <w:r w:rsidR="00241B8E">
        <w:rPr>
          <w:rFonts w:cs="Arial"/>
          <w:szCs w:val="24"/>
        </w:rPr>
        <w:t>exploiter</w:t>
      </w:r>
      <w:r w:rsidRPr="00005265">
        <w:rPr>
          <w:rFonts w:cs="Arial"/>
          <w:szCs w:val="24"/>
        </w:rPr>
        <w:t xml:space="preserve"> cet entrepôt d’attente.</w:t>
      </w:r>
    </w:p>
    <w:p w14:paraId="024343B7" w14:textId="04D30498" w:rsidR="00005265" w:rsidRDefault="0098397E" w:rsidP="0098397E">
      <w:pPr>
        <w:pStyle w:val="ListParagraph"/>
        <w:numPr>
          <w:ilvl w:val="0"/>
          <w:numId w:val="3"/>
        </w:numPr>
        <w:contextualSpacing w:val="0"/>
        <w:rPr>
          <w:rFonts w:cs="Arial"/>
          <w:szCs w:val="24"/>
        </w:rPr>
      </w:pPr>
      <w:r w:rsidRPr="00880932">
        <w:rPr>
          <w:rFonts w:cs="Arial"/>
          <w:szCs w:val="24"/>
        </w:rPr>
        <w:t xml:space="preserve">Le demandeur ne devrait pas engager de dépenses en capital pour les travaux de rénovation ou de construction tant que l’agrément n’a pas été </w:t>
      </w:r>
      <w:r w:rsidR="004F25CA">
        <w:rPr>
          <w:rFonts w:cs="Arial"/>
          <w:szCs w:val="24"/>
        </w:rPr>
        <w:t>octroyé</w:t>
      </w:r>
      <w:r w:rsidRPr="00880932">
        <w:rPr>
          <w:rFonts w:cs="Arial"/>
          <w:szCs w:val="24"/>
        </w:rPr>
        <w:t xml:space="preserve"> ou que la demande n’a pas été </w:t>
      </w:r>
      <w:r w:rsidR="004F25CA" w:rsidRPr="00880932">
        <w:rPr>
          <w:rFonts w:cs="Arial"/>
          <w:szCs w:val="24"/>
        </w:rPr>
        <w:t>approuvée</w:t>
      </w:r>
      <w:r>
        <w:rPr>
          <w:rFonts w:cs="Arial"/>
          <w:szCs w:val="24"/>
        </w:rPr>
        <w:t>.</w:t>
      </w:r>
    </w:p>
    <w:p w14:paraId="625EFB7A" w14:textId="04B34E8D" w:rsidR="008615BE" w:rsidRPr="00005265" w:rsidRDefault="008615BE" w:rsidP="00005265">
      <w:pPr>
        <w:pStyle w:val="ListParagraph"/>
        <w:numPr>
          <w:ilvl w:val="0"/>
          <w:numId w:val="3"/>
        </w:numPr>
        <w:contextualSpacing w:val="0"/>
        <w:rPr>
          <w:rFonts w:cs="Arial"/>
          <w:szCs w:val="24"/>
        </w:rPr>
      </w:pPr>
      <w:r w:rsidRPr="00005265">
        <w:rPr>
          <w:rFonts w:cs="Arial"/>
          <w:szCs w:val="24"/>
        </w:rPr>
        <w:t xml:space="preserve">Tant que l’ASFC n’a pas donné son approbation conditionnelle ou définitive, le demandeur ne doit pas commencer à exploiter </w:t>
      </w:r>
      <w:r w:rsidR="005D1320">
        <w:rPr>
          <w:rFonts w:cs="Arial"/>
          <w:szCs w:val="24"/>
        </w:rPr>
        <w:t xml:space="preserve">l’entrepôt d’attente à </w:t>
      </w:r>
      <w:r w:rsidRPr="00005265">
        <w:rPr>
          <w:rFonts w:cs="Arial"/>
          <w:szCs w:val="24"/>
        </w:rPr>
        <w:t>ce nouvel emplacement.</w:t>
      </w:r>
    </w:p>
    <w:p w14:paraId="70E25594" w14:textId="77777777" w:rsidR="008615BE" w:rsidRPr="008615BE" w:rsidRDefault="008615BE" w:rsidP="00005265">
      <w:pPr>
        <w:pStyle w:val="Heading3"/>
      </w:pPr>
      <w:bookmarkStart w:id="62" w:name="_bookmark21"/>
      <w:bookmarkStart w:id="63" w:name="ClosureofWarehouse"/>
      <w:bookmarkStart w:id="64" w:name="_Fermeture_d’un_entrepôt"/>
      <w:bookmarkEnd w:id="62"/>
      <w:bookmarkEnd w:id="63"/>
      <w:bookmarkEnd w:id="64"/>
      <w:r w:rsidRPr="008615BE">
        <w:t>Fermeture d’un entrepôt</w:t>
      </w:r>
    </w:p>
    <w:p w14:paraId="06A4596D" w14:textId="112E784E" w:rsidR="00005265" w:rsidRDefault="008615BE" w:rsidP="00005265">
      <w:pPr>
        <w:pStyle w:val="ListParagraph"/>
        <w:numPr>
          <w:ilvl w:val="0"/>
          <w:numId w:val="3"/>
        </w:numPr>
        <w:contextualSpacing w:val="0"/>
        <w:rPr>
          <w:rFonts w:cs="Arial"/>
          <w:szCs w:val="24"/>
        </w:rPr>
      </w:pPr>
      <w:r w:rsidRPr="00005265">
        <w:rPr>
          <w:rFonts w:cs="Arial"/>
          <w:szCs w:val="24"/>
        </w:rPr>
        <w:t xml:space="preserve">L’exploitant informe par écrit l’ASFC dans le </w:t>
      </w:r>
      <w:r w:rsidR="00F73BF6">
        <w:rPr>
          <w:rFonts w:cs="Arial"/>
          <w:szCs w:val="24"/>
        </w:rPr>
        <w:t xml:space="preserve">PCG </w:t>
      </w:r>
      <w:r w:rsidRPr="00005265">
        <w:rPr>
          <w:rFonts w:cs="Arial"/>
          <w:szCs w:val="24"/>
        </w:rPr>
        <w:t>au moins 60 jours avant la date d’entrée en vigueur de la fermeture. L’ASFC accuse réception de l’avis de fermeture donné par l’exploitant.</w:t>
      </w:r>
    </w:p>
    <w:p w14:paraId="08FE1647" w14:textId="160224EA" w:rsidR="00005265" w:rsidRDefault="008615BE" w:rsidP="00005265">
      <w:pPr>
        <w:pStyle w:val="ListParagraph"/>
        <w:numPr>
          <w:ilvl w:val="0"/>
          <w:numId w:val="3"/>
        </w:numPr>
        <w:contextualSpacing w:val="0"/>
        <w:rPr>
          <w:rFonts w:cs="Arial"/>
          <w:szCs w:val="24"/>
        </w:rPr>
      </w:pPr>
      <w:r w:rsidRPr="00005265">
        <w:rPr>
          <w:rFonts w:cs="Arial"/>
          <w:szCs w:val="24"/>
        </w:rPr>
        <w:t xml:space="preserve">Avant la fermeture d’un entrepôt d’attente, l’exploitant est tenu de déclarer en détail toutes les marchandises sous douane qui s’y trouvent, soit en payant les droits et </w:t>
      </w:r>
      <w:r w:rsidR="000738D2">
        <w:rPr>
          <w:rFonts w:cs="Arial"/>
          <w:szCs w:val="24"/>
        </w:rPr>
        <w:t xml:space="preserve">les </w:t>
      </w:r>
      <w:r w:rsidRPr="00005265">
        <w:rPr>
          <w:rFonts w:cs="Arial"/>
          <w:szCs w:val="24"/>
        </w:rPr>
        <w:t>taxes, soit en transférant ces marchandises dans un lieu autorisé par l’ASFC. Il peut aussi les exporter du Canada.</w:t>
      </w:r>
    </w:p>
    <w:p w14:paraId="6D65353B" w14:textId="5B02798E" w:rsidR="008615BE" w:rsidRPr="00005265" w:rsidRDefault="008615BE" w:rsidP="00005265">
      <w:pPr>
        <w:pStyle w:val="ListParagraph"/>
        <w:numPr>
          <w:ilvl w:val="0"/>
          <w:numId w:val="3"/>
        </w:numPr>
        <w:contextualSpacing w:val="0"/>
        <w:rPr>
          <w:rFonts w:cs="Arial"/>
          <w:szCs w:val="24"/>
        </w:rPr>
      </w:pPr>
      <w:r w:rsidRPr="00005265">
        <w:rPr>
          <w:rFonts w:cs="Arial"/>
          <w:szCs w:val="24"/>
        </w:rPr>
        <w:lastRenderedPageBreak/>
        <w:t>Un agent de l’ASFC procédera à un contrôle de l’entrepôt d’attente pour s’assurer que toutes les marchandises sous douane ont été déclarées en détail.</w:t>
      </w:r>
    </w:p>
    <w:p w14:paraId="5EB81CD5" w14:textId="77777777" w:rsidR="008615BE" w:rsidRPr="008615BE" w:rsidRDefault="008615BE" w:rsidP="00005265">
      <w:pPr>
        <w:pStyle w:val="Heading3"/>
      </w:pPr>
      <w:bookmarkStart w:id="65" w:name="_bookmark22"/>
      <w:bookmarkStart w:id="66" w:name="Facilities"/>
      <w:bookmarkStart w:id="67" w:name="_Installations"/>
      <w:bookmarkEnd w:id="65"/>
      <w:bookmarkEnd w:id="66"/>
      <w:bookmarkEnd w:id="67"/>
      <w:r w:rsidRPr="008615BE">
        <w:t>Installations</w:t>
      </w:r>
    </w:p>
    <w:p w14:paraId="2A7361F8" w14:textId="77777777" w:rsidR="00005265" w:rsidRDefault="008615BE" w:rsidP="00005265">
      <w:pPr>
        <w:pStyle w:val="ListParagraph"/>
        <w:numPr>
          <w:ilvl w:val="0"/>
          <w:numId w:val="3"/>
        </w:numPr>
        <w:contextualSpacing w:val="0"/>
        <w:rPr>
          <w:rFonts w:cs="Arial"/>
          <w:szCs w:val="24"/>
        </w:rPr>
      </w:pPr>
      <w:r w:rsidRPr="00005265">
        <w:rPr>
          <w:rFonts w:cs="Arial"/>
          <w:szCs w:val="24"/>
        </w:rPr>
        <w:t>L’exploitant est tenu de déterminer et de fournir l’espace requis pour l’entreposage sécuritaire des marchandises sous douane dans l’entrepôt et dans l’enceinte de retenue. S’il est établi que l’espace prévu est insuffisant vu le volume des expéditions, l’ASFC peut demander à l’exploitant de prévoir une aire d’entreposage supplémentaire.</w:t>
      </w:r>
    </w:p>
    <w:p w14:paraId="28B08DB3" w14:textId="77777777" w:rsidR="00005265" w:rsidRDefault="008615BE" w:rsidP="00005265">
      <w:pPr>
        <w:pStyle w:val="ListParagraph"/>
        <w:numPr>
          <w:ilvl w:val="0"/>
          <w:numId w:val="3"/>
        </w:numPr>
        <w:contextualSpacing w:val="0"/>
        <w:rPr>
          <w:rFonts w:cs="Arial"/>
          <w:szCs w:val="24"/>
        </w:rPr>
      </w:pPr>
      <w:r w:rsidRPr="00005265">
        <w:rPr>
          <w:rFonts w:cs="Arial"/>
          <w:szCs w:val="24"/>
        </w:rPr>
        <w:t xml:space="preserve">L’exploitant est tenu de fournir une enceinte de retenue ou une aire de stationnement pour l’entreposage des marchandises importées qui sont retenues dans un moyen de transport, à la demande de l’ASFC. </w:t>
      </w:r>
    </w:p>
    <w:p w14:paraId="35AE6512" w14:textId="77777777" w:rsidR="00005265" w:rsidRDefault="008615BE" w:rsidP="00005265">
      <w:pPr>
        <w:pStyle w:val="ListParagraph"/>
        <w:numPr>
          <w:ilvl w:val="0"/>
          <w:numId w:val="3"/>
        </w:numPr>
        <w:contextualSpacing w:val="0"/>
        <w:rPr>
          <w:rFonts w:cs="Arial"/>
          <w:szCs w:val="24"/>
        </w:rPr>
      </w:pPr>
      <w:r w:rsidRPr="00005265">
        <w:rPr>
          <w:rFonts w:cs="Arial"/>
          <w:szCs w:val="24"/>
        </w:rPr>
        <w:t>À moins que l’exploitant de l’entrepôt d’attente n’ait pris d’autres arrangements avec les utilisateurs des installations, il doit fournir à ces derniers tout le matériel dont ils ont besoin pour décharger et déplacer les expéditions ainsi que le personnel nécessaire pour assurer la recherche, l’ouverture et la fermeture des colis examinés par l’ASFC.</w:t>
      </w:r>
    </w:p>
    <w:p w14:paraId="14A23F15" w14:textId="77777777" w:rsidR="00005265" w:rsidRDefault="008615BE" w:rsidP="00005265">
      <w:pPr>
        <w:pStyle w:val="ListParagraph"/>
        <w:numPr>
          <w:ilvl w:val="0"/>
          <w:numId w:val="3"/>
        </w:numPr>
        <w:contextualSpacing w:val="0"/>
        <w:rPr>
          <w:rFonts w:cs="Arial"/>
          <w:szCs w:val="24"/>
        </w:rPr>
      </w:pPr>
      <w:r w:rsidRPr="00005265">
        <w:rPr>
          <w:rFonts w:cs="Arial"/>
          <w:szCs w:val="24"/>
        </w:rPr>
        <w:t>L’exploitant est tenu de fournir des toilettes et des bureaux pour l’usage des agents, ainsi que le chauffage, l’éclairage et les services de nettoyage nécessaires pour ces installations et bureaux, à la demande de l’ASFC.</w:t>
      </w:r>
    </w:p>
    <w:p w14:paraId="550D313C" w14:textId="77777777" w:rsidR="00005265" w:rsidRDefault="008615BE" w:rsidP="00005265">
      <w:pPr>
        <w:pStyle w:val="ListParagraph"/>
        <w:numPr>
          <w:ilvl w:val="0"/>
          <w:numId w:val="3"/>
        </w:numPr>
        <w:contextualSpacing w:val="0"/>
        <w:rPr>
          <w:rFonts w:cs="Arial"/>
          <w:szCs w:val="24"/>
        </w:rPr>
      </w:pPr>
      <w:r w:rsidRPr="00005265">
        <w:rPr>
          <w:rFonts w:cs="Arial"/>
          <w:szCs w:val="24"/>
        </w:rPr>
        <w:t>Afin de respecter la réglementation sur la santé et sécurité, l’exploitant est tenu de voir à ce que ses installations soient en tout temps un milieu propre et sécuritaire pour les employés de l’ASFC qui doivent s’y rendre.</w:t>
      </w:r>
    </w:p>
    <w:p w14:paraId="634DBF4C" w14:textId="77777777" w:rsidR="00005265" w:rsidRDefault="008615BE" w:rsidP="00005265">
      <w:pPr>
        <w:pStyle w:val="ListParagraph"/>
        <w:numPr>
          <w:ilvl w:val="0"/>
          <w:numId w:val="3"/>
        </w:numPr>
        <w:contextualSpacing w:val="0"/>
        <w:rPr>
          <w:rFonts w:cs="Arial"/>
          <w:szCs w:val="24"/>
        </w:rPr>
      </w:pPr>
      <w:r w:rsidRPr="00005265">
        <w:rPr>
          <w:rFonts w:cs="Arial"/>
          <w:szCs w:val="24"/>
        </w:rPr>
        <w:t>L’exploitant est tenu de fournir les installations, l’équipement et le personnel suffisants pour contrôler l’accès à l’entrepôt d’attente et assurer l’entreposage sécuritaire des marchandises qui s’y trouvent, notamment :</w:t>
      </w:r>
    </w:p>
    <w:p w14:paraId="5F8DE544" w14:textId="77777777" w:rsidR="00005265" w:rsidRDefault="008615BE" w:rsidP="00005265">
      <w:pPr>
        <w:pStyle w:val="ListParagraph"/>
        <w:numPr>
          <w:ilvl w:val="1"/>
          <w:numId w:val="3"/>
        </w:numPr>
        <w:contextualSpacing w:val="0"/>
        <w:rPr>
          <w:rFonts w:cs="Arial"/>
          <w:szCs w:val="24"/>
        </w:rPr>
      </w:pPr>
      <w:r w:rsidRPr="00005265">
        <w:rPr>
          <w:rFonts w:cs="Arial"/>
          <w:szCs w:val="24"/>
        </w:rPr>
        <w:t>portes et autres composants du bâtiment, de construction robuste;</w:t>
      </w:r>
    </w:p>
    <w:p w14:paraId="2F400512" w14:textId="77777777" w:rsidR="00005265" w:rsidRDefault="008615BE" w:rsidP="00005265">
      <w:pPr>
        <w:pStyle w:val="ListParagraph"/>
        <w:numPr>
          <w:ilvl w:val="1"/>
          <w:numId w:val="3"/>
        </w:numPr>
        <w:contextualSpacing w:val="0"/>
        <w:rPr>
          <w:rFonts w:cs="Arial"/>
          <w:szCs w:val="24"/>
        </w:rPr>
      </w:pPr>
      <w:r w:rsidRPr="00005265">
        <w:rPr>
          <w:rFonts w:cs="Arial"/>
          <w:szCs w:val="24"/>
        </w:rPr>
        <w:t>portes et fenêtres dotées de verrous sécuritaires;</w:t>
      </w:r>
    </w:p>
    <w:p w14:paraId="2082FB82" w14:textId="4CD41CCC" w:rsidR="00005265" w:rsidRDefault="008615BE" w:rsidP="00005265">
      <w:pPr>
        <w:pStyle w:val="ListParagraph"/>
        <w:numPr>
          <w:ilvl w:val="1"/>
          <w:numId w:val="3"/>
        </w:numPr>
        <w:contextualSpacing w:val="0"/>
        <w:rPr>
          <w:rFonts w:cs="Arial"/>
          <w:szCs w:val="24"/>
        </w:rPr>
      </w:pPr>
      <w:r w:rsidRPr="00005265">
        <w:rPr>
          <w:rFonts w:cs="Arial"/>
          <w:szCs w:val="24"/>
        </w:rPr>
        <w:t>panneaux indiquant les exigences en matière de sécurité qui s’appliquent aux lieux;</w:t>
      </w:r>
    </w:p>
    <w:p w14:paraId="52676383" w14:textId="56D0BA2C" w:rsidR="008615BE" w:rsidRPr="00005265" w:rsidRDefault="008615BE" w:rsidP="00005265">
      <w:pPr>
        <w:pStyle w:val="ListParagraph"/>
        <w:numPr>
          <w:ilvl w:val="1"/>
          <w:numId w:val="3"/>
        </w:numPr>
        <w:contextualSpacing w:val="0"/>
        <w:rPr>
          <w:rFonts w:cs="Arial"/>
          <w:szCs w:val="24"/>
        </w:rPr>
      </w:pPr>
      <w:r w:rsidRPr="00005265">
        <w:rPr>
          <w:rFonts w:cs="Arial"/>
          <w:szCs w:val="24"/>
        </w:rPr>
        <w:lastRenderedPageBreak/>
        <w:t>installations et équipement additionnels pour assurer l’entreposage sécuritaire des marchandises désignées, s’il y a lieu.</w:t>
      </w:r>
    </w:p>
    <w:p w14:paraId="63616EAF" w14:textId="77777777" w:rsidR="008615BE" w:rsidRPr="008615BE" w:rsidRDefault="008615BE" w:rsidP="00005265">
      <w:pPr>
        <w:pStyle w:val="Heading3"/>
      </w:pPr>
      <w:bookmarkStart w:id="68" w:name="_bookmark23"/>
      <w:bookmarkStart w:id="69" w:name="BuildingRequirements"/>
      <w:bookmarkStart w:id="70" w:name="_Exigences_relatives_au"/>
      <w:bookmarkStart w:id="71" w:name="paragraph56"/>
      <w:bookmarkEnd w:id="68"/>
      <w:bookmarkEnd w:id="69"/>
      <w:bookmarkEnd w:id="70"/>
      <w:r w:rsidRPr="008615BE">
        <w:t>Exigences relatives au bâtiment</w:t>
      </w:r>
    </w:p>
    <w:p w14:paraId="2B0D9B09" w14:textId="77777777" w:rsidR="00005265" w:rsidRDefault="008615BE" w:rsidP="008E4427">
      <w:pPr>
        <w:pStyle w:val="ListParagraph"/>
        <w:numPr>
          <w:ilvl w:val="0"/>
          <w:numId w:val="3"/>
        </w:numPr>
        <w:contextualSpacing w:val="0"/>
        <w:rPr>
          <w:rFonts w:cs="Arial"/>
          <w:szCs w:val="24"/>
        </w:rPr>
      </w:pPr>
      <w:bookmarkStart w:id="72" w:name="paragraph55"/>
      <w:bookmarkEnd w:id="72"/>
      <w:r w:rsidRPr="000B5143">
        <w:rPr>
          <w:rFonts w:cs="Arial"/>
          <w:szCs w:val="24"/>
        </w:rPr>
        <w:t>Les exige</w:t>
      </w:r>
      <w:r w:rsidRPr="00005265">
        <w:rPr>
          <w:rFonts w:cs="Arial"/>
          <w:szCs w:val="24"/>
        </w:rPr>
        <w:t>nces relatives au bâtiment de l’entrepôt d’attente doivent être approuvées par le bureau local de l’ASFC et comprendre au moins les installations suivantes :</w:t>
      </w:r>
    </w:p>
    <w:p w14:paraId="1D278FAA" w14:textId="77777777" w:rsidR="00005265" w:rsidRDefault="008615BE" w:rsidP="008E4427">
      <w:pPr>
        <w:pStyle w:val="ListParagraph"/>
        <w:numPr>
          <w:ilvl w:val="1"/>
          <w:numId w:val="3"/>
        </w:numPr>
        <w:contextualSpacing w:val="0"/>
        <w:rPr>
          <w:rFonts w:cs="Arial"/>
          <w:szCs w:val="24"/>
        </w:rPr>
      </w:pPr>
      <w:r w:rsidRPr="00005265">
        <w:rPr>
          <w:rFonts w:cs="Arial"/>
          <w:szCs w:val="24"/>
        </w:rPr>
        <w:t>une aire d’entreposage à laquelle on peut accéder de l’extérieur par une porte de fret;</w:t>
      </w:r>
    </w:p>
    <w:p w14:paraId="772C2EED" w14:textId="42E87AE9" w:rsidR="00005265" w:rsidRDefault="008615BE" w:rsidP="008E4427">
      <w:pPr>
        <w:pStyle w:val="ListParagraph"/>
        <w:numPr>
          <w:ilvl w:val="1"/>
          <w:numId w:val="3"/>
        </w:numPr>
        <w:contextualSpacing w:val="0"/>
        <w:rPr>
          <w:rFonts w:cs="Arial"/>
          <w:szCs w:val="24"/>
        </w:rPr>
      </w:pPr>
      <w:r w:rsidRPr="00005265">
        <w:rPr>
          <w:rFonts w:cs="Arial"/>
          <w:szCs w:val="24"/>
        </w:rPr>
        <w:t xml:space="preserve">un espace de bureaux chauffé et une aire d’examen ou un bureau et une salle d’examen combinés </w:t>
      </w:r>
      <w:r w:rsidR="00B20721">
        <w:rPr>
          <w:rFonts w:cs="Arial"/>
          <w:szCs w:val="24"/>
        </w:rPr>
        <w:t>à l’usage des</w:t>
      </w:r>
      <w:r w:rsidRPr="00005265">
        <w:rPr>
          <w:rFonts w:cs="Arial"/>
          <w:szCs w:val="24"/>
        </w:rPr>
        <w:t xml:space="preserve"> examinateurs de l’ASFC, s’il y a lieu. Le bureau et l’aire d’examen doivent être à l’abri des </w:t>
      </w:r>
      <w:r w:rsidR="00E54977">
        <w:rPr>
          <w:rFonts w:cs="Arial"/>
          <w:szCs w:val="24"/>
        </w:rPr>
        <w:t>intempéries</w:t>
      </w:r>
      <w:r w:rsidRPr="00005265">
        <w:rPr>
          <w:rFonts w:cs="Arial"/>
          <w:szCs w:val="24"/>
        </w:rPr>
        <w:t>. Dans le cas des entrepôts que l’ASFC sert sur appel ou à temps partiel, l’exploitant ne fournit l’usage d’un bureau que si les fonctionnaires de l’ASFC le lui demande;</w:t>
      </w:r>
    </w:p>
    <w:p w14:paraId="58AC0496" w14:textId="77777777" w:rsidR="008E4427" w:rsidRDefault="008615BE" w:rsidP="008E4427">
      <w:pPr>
        <w:pStyle w:val="ListParagraph"/>
        <w:numPr>
          <w:ilvl w:val="1"/>
          <w:numId w:val="3"/>
        </w:numPr>
        <w:contextualSpacing w:val="0"/>
        <w:rPr>
          <w:rFonts w:cs="Arial"/>
          <w:szCs w:val="24"/>
        </w:rPr>
      </w:pPr>
      <w:r w:rsidRPr="00005265">
        <w:rPr>
          <w:rFonts w:cs="Arial"/>
          <w:szCs w:val="24"/>
        </w:rPr>
        <w:t>un lieu sûr pour le dépôt des documents de l’ASFC, si celle-ci le demande.</w:t>
      </w:r>
    </w:p>
    <w:p w14:paraId="6249958A" w14:textId="5843996C" w:rsidR="008E4427" w:rsidRDefault="008615BE" w:rsidP="008E4427">
      <w:pPr>
        <w:pStyle w:val="ListParagraph"/>
        <w:numPr>
          <w:ilvl w:val="0"/>
          <w:numId w:val="3"/>
        </w:numPr>
        <w:contextualSpacing w:val="0"/>
        <w:rPr>
          <w:rFonts w:cs="Arial"/>
          <w:szCs w:val="24"/>
        </w:rPr>
      </w:pPr>
      <w:r w:rsidRPr="008E4427">
        <w:rPr>
          <w:rFonts w:cs="Arial"/>
          <w:szCs w:val="24"/>
        </w:rPr>
        <w:t>Un espace distinct doit être réservé à l’entreposage des expéditions sous douane à l’intérieur du bâtiment de l’entrepôt ou de l’enceinte de retenue. Les marchandises sous douane ne doivent pas être mélangées aux marchandises nationales</w:t>
      </w:r>
      <w:r w:rsidR="007E55AB">
        <w:rPr>
          <w:rFonts w:cs="Arial"/>
          <w:szCs w:val="24"/>
        </w:rPr>
        <w:t>,</w:t>
      </w:r>
      <w:r w:rsidRPr="008E4427">
        <w:rPr>
          <w:rFonts w:cs="Arial"/>
          <w:szCs w:val="24"/>
        </w:rPr>
        <w:t xml:space="preserve"> et l’accès aux marchandises sous douane doit être réservé aux seules personnes autorisées.</w:t>
      </w:r>
    </w:p>
    <w:p w14:paraId="480B68FD" w14:textId="62197CDE" w:rsidR="008E4427" w:rsidRDefault="008615BE" w:rsidP="008E4427">
      <w:pPr>
        <w:pStyle w:val="ListParagraph"/>
        <w:numPr>
          <w:ilvl w:val="0"/>
          <w:numId w:val="3"/>
        </w:numPr>
        <w:contextualSpacing w:val="0"/>
        <w:rPr>
          <w:rFonts w:cs="Arial"/>
          <w:szCs w:val="24"/>
        </w:rPr>
      </w:pPr>
      <w:r w:rsidRPr="008E4427">
        <w:rPr>
          <w:rFonts w:cs="Arial"/>
          <w:szCs w:val="24"/>
        </w:rPr>
        <w:t xml:space="preserve">Si plusieurs entrepôts d’attente se trouvent dans un bâtiment appartenant à une personne ou à une autre entreprise </w:t>
      </w:r>
      <w:r w:rsidR="007E55AB">
        <w:rPr>
          <w:rFonts w:cs="Arial"/>
          <w:szCs w:val="24"/>
        </w:rPr>
        <w:t xml:space="preserve">autre </w:t>
      </w:r>
      <w:r w:rsidRPr="008E4427">
        <w:rPr>
          <w:rFonts w:cs="Arial"/>
          <w:szCs w:val="24"/>
        </w:rPr>
        <w:t>que le demandeur, le propriétaire doit fournir le</w:t>
      </w:r>
      <w:r w:rsidR="00D10DD0">
        <w:rPr>
          <w:rFonts w:cs="Arial"/>
          <w:szCs w:val="24"/>
        </w:rPr>
        <w:t>s</w:t>
      </w:r>
      <w:r w:rsidRPr="008E4427">
        <w:rPr>
          <w:rFonts w:cs="Arial"/>
          <w:szCs w:val="24"/>
        </w:rPr>
        <w:t xml:space="preserve"> loca</w:t>
      </w:r>
      <w:r w:rsidR="00D10DD0">
        <w:rPr>
          <w:rFonts w:cs="Arial"/>
          <w:szCs w:val="24"/>
        </w:rPr>
        <w:t>ux</w:t>
      </w:r>
      <w:r w:rsidRPr="008E4427">
        <w:rPr>
          <w:rFonts w:cs="Arial"/>
          <w:szCs w:val="24"/>
        </w:rPr>
        <w:t xml:space="preserve">, les services et l’ameublement nécessaires à l’aménagement du bureau des examinateurs de l’ASFC. Le demandeur est uniquement tenu de fournir l’espace, le matériel et la table de travail dont </w:t>
      </w:r>
      <w:r w:rsidR="00D10DD0">
        <w:rPr>
          <w:rFonts w:cs="Arial"/>
          <w:szCs w:val="24"/>
        </w:rPr>
        <w:t>les examinateurs</w:t>
      </w:r>
      <w:r w:rsidRPr="008E4427">
        <w:rPr>
          <w:rFonts w:cs="Arial"/>
          <w:szCs w:val="24"/>
        </w:rPr>
        <w:t xml:space="preserve"> ont besoin pour </w:t>
      </w:r>
      <w:r w:rsidR="00D10DD0">
        <w:rPr>
          <w:rFonts w:cs="Arial"/>
          <w:szCs w:val="24"/>
        </w:rPr>
        <w:t>examiner les</w:t>
      </w:r>
      <w:r w:rsidRPr="008E4427">
        <w:rPr>
          <w:rFonts w:cs="Arial"/>
          <w:szCs w:val="24"/>
        </w:rPr>
        <w:t xml:space="preserve"> marchandises.</w:t>
      </w:r>
    </w:p>
    <w:p w14:paraId="4E9873DA" w14:textId="274CCAC3" w:rsidR="008615BE" w:rsidRPr="008E4427" w:rsidRDefault="008615BE" w:rsidP="008E4427">
      <w:pPr>
        <w:pStyle w:val="ListParagraph"/>
        <w:numPr>
          <w:ilvl w:val="0"/>
          <w:numId w:val="3"/>
        </w:numPr>
        <w:contextualSpacing w:val="0"/>
        <w:rPr>
          <w:rFonts w:cs="Arial"/>
          <w:szCs w:val="24"/>
        </w:rPr>
      </w:pPr>
      <w:r w:rsidRPr="008E4427">
        <w:rPr>
          <w:rFonts w:cs="Arial"/>
          <w:szCs w:val="24"/>
        </w:rPr>
        <w:t>Lors de la construction d’un entrepôt d’attente, le bâtiment doit être exactement conforme aux plans originaux présentés à l’ASFC, à moins que l’ASFC n’ait approuvé les modifications aux plans originaux.</w:t>
      </w:r>
      <w:bookmarkEnd w:id="71"/>
    </w:p>
    <w:p w14:paraId="49A14CB5" w14:textId="77777777" w:rsidR="008615BE" w:rsidRPr="008615BE" w:rsidRDefault="008615BE" w:rsidP="008E4427">
      <w:pPr>
        <w:pStyle w:val="Heading3"/>
      </w:pPr>
      <w:bookmarkStart w:id="73" w:name="_bookmark24"/>
      <w:bookmarkStart w:id="74" w:name="BuildingMods"/>
      <w:bookmarkStart w:id="75" w:name="_Modifications_apportées_au"/>
      <w:bookmarkStart w:id="76" w:name="paragraph60"/>
      <w:bookmarkEnd w:id="73"/>
      <w:bookmarkEnd w:id="74"/>
      <w:bookmarkEnd w:id="75"/>
      <w:r w:rsidRPr="008615BE">
        <w:t>Modifications apportées au bâtiment</w:t>
      </w:r>
    </w:p>
    <w:p w14:paraId="3085BB18" w14:textId="0291FEAF" w:rsidR="008E4427" w:rsidRDefault="008615BE" w:rsidP="008E4427">
      <w:pPr>
        <w:pStyle w:val="ListParagraph"/>
        <w:numPr>
          <w:ilvl w:val="0"/>
          <w:numId w:val="3"/>
        </w:numPr>
        <w:contextualSpacing w:val="0"/>
        <w:rPr>
          <w:rFonts w:cs="Arial"/>
          <w:szCs w:val="24"/>
        </w:rPr>
      </w:pPr>
      <w:r w:rsidRPr="008E4427">
        <w:rPr>
          <w:rFonts w:cs="Arial"/>
          <w:szCs w:val="24"/>
        </w:rPr>
        <w:lastRenderedPageBreak/>
        <w:t xml:space="preserve">Les exploitants doivent obtenir l’approbation de l’ASFC avant d’apporter des modifications à l’entrepôt d’attente. </w:t>
      </w:r>
      <w:r w:rsidR="00655E56">
        <w:rPr>
          <w:rFonts w:cs="Arial"/>
          <w:szCs w:val="24"/>
        </w:rPr>
        <w:t>Des</w:t>
      </w:r>
      <w:r w:rsidRPr="008E4427">
        <w:rPr>
          <w:rFonts w:cs="Arial"/>
          <w:szCs w:val="24"/>
        </w:rPr>
        <w:t xml:space="preserve"> modifications </w:t>
      </w:r>
      <w:r w:rsidR="00655E56">
        <w:rPr>
          <w:rFonts w:cs="Arial"/>
          <w:szCs w:val="24"/>
        </w:rPr>
        <w:t>telles que</w:t>
      </w:r>
      <w:r w:rsidRPr="008E4427">
        <w:rPr>
          <w:rFonts w:cs="Arial"/>
          <w:szCs w:val="24"/>
        </w:rPr>
        <w:t> :</w:t>
      </w:r>
    </w:p>
    <w:p w14:paraId="6A2CAB97" w14:textId="7DAA333F" w:rsidR="008E4427" w:rsidRDefault="00207CE2" w:rsidP="008E4427">
      <w:pPr>
        <w:pStyle w:val="ListParagraph"/>
        <w:numPr>
          <w:ilvl w:val="1"/>
          <w:numId w:val="3"/>
        </w:numPr>
        <w:contextualSpacing w:val="0"/>
        <w:rPr>
          <w:rFonts w:cs="Arial"/>
          <w:szCs w:val="24"/>
        </w:rPr>
      </w:pPr>
      <w:r>
        <w:rPr>
          <w:rFonts w:cs="Arial"/>
          <w:szCs w:val="24"/>
        </w:rPr>
        <w:t>un</w:t>
      </w:r>
      <w:r w:rsidR="008615BE" w:rsidRPr="008E4427">
        <w:rPr>
          <w:rFonts w:cs="Arial"/>
          <w:szCs w:val="24"/>
        </w:rPr>
        <w:t xml:space="preserve"> agrandissement ou </w:t>
      </w:r>
      <w:r>
        <w:rPr>
          <w:rFonts w:cs="Arial"/>
          <w:szCs w:val="24"/>
        </w:rPr>
        <w:t xml:space="preserve">une </w:t>
      </w:r>
      <w:r w:rsidR="008615BE" w:rsidRPr="008E4427">
        <w:rPr>
          <w:rFonts w:cs="Arial"/>
          <w:szCs w:val="24"/>
        </w:rPr>
        <w:t>réduction touchant l’entrepôt d’attente, y compris le secteur du bureau de l’ASFC dans l’entrepôt;</w:t>
      </w:r>
    </w:p>
    <w:p w14:paraId="2D2E86F9" w14:textId="2549677C" w:rsidR="008E4427" w:rsidRDefault="008615BE" w:rsidP="008E4427">
      <w:pPr>
        <w:pStyle w:val="ListParagraph"/>
        <w:numPr>
          <w:ilvl w:val="1"/>
          <w:numId w:val="3"/>
        </w:numPr>
        <w:contextualSpacing w:val="0"/>
        <w:rPr>
          <w:rFonts w:cs="Arial"/>
          <w:szCs w:val="24"/>
        </w:rPr>
      </w:pPr>
      <w:r w:rsidRPr="008E4427">
        <w:rPr>
          <w:rFonts w:cs="Arial"/>
          <w:szCs w:val="24"/>
        </w:rPr>
        <w:t>tout changement touchant les portes de fret, les portes d’entrée ou les fenêtres;</w:t>
      </w:r>
    </w:p>
    <w:p w14:paraId="3BE2935F" w14:textId="5BAD94B3" w:rsidR="008615BE" w:rsidRPr="008E4427" w:rsidRDefault="008615BE" w:rsidP="008E4427">
      <w:pPr>
        <w:pStyle w:val="ListParagraph"/>
        <w:numPr>
          <w:ilvl w:val="1"/>
          <w:numId w:val="3"/>
        </w:numPr>
        <w:contextualSpacing w:val="0"/>
        <w:rPr>
          <w:rFonts w:cs="Arial"/>
          <w:szCs w:val="24"/>
        </w:rPr>
      </w:pPr>
      <w:r w:rsidRPr="008E4427">
        <w:rPr>
          <w:rFonts w:cs="Arial"/>
          <w:szCs w:val="24"/>
        </w:rPr>
        <w:t>tout changement touchant les autres exigences relatives à la sécurité matérielle.</w:t>
      </w:r>
    </w:p>
    <w:p w14:paraId="21FC98FB" w14:textId="0C13CB6E" w:rsidR="008E4427" w:rsidRDefault="008615BE" w:rsidP="008E4427">
      <w:pPr>
        <w:pStyle w:val="ListParagraph"/>
        <w:numPr>
          <w:ilvl w:val="0"/>
          <w:numId w:val="3"/>
        </w:numPr>
        <w:contextualSpacing w:val="0"/>
        <w:rPr>
          <w:rFonts w:cs="Arial"/>
          <w:szCs w:val="24"/>
        </w:rPr>
      </w:pPr>
      <w:r w:rsidRPr="008E4427">
        <w:rPr>
          <w:rFonts w:cs="Arial"/>
          <w:szCs w:val="24"/>
        </w:rPr>
        <w:t>L’exploitant doit soumettre un formulaire </w:t>
      </w:r>
      <w:r w:rsidR="00ED2742">
        <w:rPr>
          <w:rFonts w:cs="Arial"/>
          <w:szCs w:val="24"/>
        </w:rPr>
        <w:t xml:space="preserve">BSF897 </w:t>
      </w:r>
      <w:r w:rsidRPr="008E4427">
        <w:rPr>
          <w:rFonts w:cs="Arial"/>
          <w:szCs w:val="24"/>
        </w:rPr>
        <w:t xml:space="preserve">dans le </w:t>
      </w:r>
      <w:r w:rsidR="00655E56">
        <w:rPr>
          <w:rFonts w:cs="Arial"/>
          <w:szCs w:val="24"/>
        </w:rPr>
        <w:t xml:space="preserve">PCG </w:t>
      </w:r>
      <w:r w:rsidRPr="008E4427">
        <w:rPr>
          <w:rFonts w:cs="Arial"/>
          <w:szCs w:val="24"/>
        </w:rPr>
        <w:t xml:space="preserve">indiquant une modification dans le champ 2, accompagné d’un dessin montrant les modifications proposées. L’ASFC </w:t>
      </w:r>
      <w:r w:rsidR="005B42AA">
        <w:rPr>
          <w:rFonts w:cs="Arial"/>
          <w:szCs w:val="24"/>
        </w:rPr>
        <w:t>enverra</w:t>
      </w:r>
      <w:r w:rsidRPr="008E4427">
        <w:rPr>
          <w:rFonts w:cs="Arial"/>
          <w:szCs w:val="24"/>
        </w:rPr>
        <w:t xml:space="preserve"> un avis dans le </w:t>
      </w:r>
      <w:r w:rsidR="00655E56">
        <w:rPr>
          <w:rFonts w:cs="Arial"/>
          <w:szCs w:val="24"/>
        </w:rPr>
        <w:t xml:space="preserve">PCG </w:t>
      </w:r>
      <w:r w:rsidRPr="008E4427">
        <w:rPr>
          <w:rFonts w:cs="Arial"/>
          <w:szCs w:val="24"/>
        </w:rPr>
        <w:t>indiquant si la modification a été approuvée ou refusée.</w:t>
      </w:r>
    </w:p>
    <w:p w14:paraId="79B63366" w14:textId="76CC835F" w:rsidR="008E4427" w:rsidRDefault="008615BE" w:rsidP="008615BE">
      <w:pPr>
        <w:pStyle w:val="ListParagraph"/>
        <w:numPr>
          <w:ilvl w:val="0"/>
          <w:numId w:val="3"/>
        </w:numPr>
        <w:contextualSpacing w:val="0"/>
        <w:rPr>
          <w:rFonts w:cs="Arial"/>
          <w:szCs w:val="24"/>
        </w:rPr>
      </w:pPr>
      <w:r w:rsidRPr="008E4427">
        <w:rPr>
          <w:rFonts w:cs="Arial"/>
          <w:szCs w:val="24"/>
        </w:rPr>
        <w:t>Pour certaines catégories d’entrepôts : BW, SL, SO, SO</w:t>
      </w:r>
      <w:r w:rsidR="00FB5586">
        <w:rPr>
          <w:rFonts w:cs="Arial"/>
          <w:szCs w:val="24"/>
        </w:rPr>
        <w:t xml:space="preserve"> </w:t>
      </w:r>
      <w:r w:rsidRPr="008E4427">
        <w:rPr>
          <w:rFonts w:cs="Arial"/>
          <w:szCs w:val="24"/>
        </w:rPr>
        <w:t>(PAD), l’approbation finale des changements proposés est accordée par l’Administration centrale selon la recommandation du bureau local de l’ASFC.</w:t>
      </w:r>
      <w:bookmarkStart w:id="77" w:name="_bookmark25"/>
      <w:bookmarkStart w:id="78" w:name="AccessRestrictions"/>
      <w:bookmarkEnd w:id="76"/>
      <w:bookmarkEnd w:id="77"/>
      <w:bookmarkEnd w:id="78"/>
    </w:p>
    <w:p w14:paraId="479D8916" w14:textId="1F8EAB4F" w:rsidR="008E4427" w:rsidRPr="008E4427" w:rsidRDefault="008E4427" w:rsidP="008E4427">
      <w:pPr>
        <w:pStyle w:val="Heading3"/>
      </w:pPr>
      <w:bookmarkStart w:id="79" w:name="_Restrictions_visant_l’accès"/>
      <w:bookmarkEnd w:id="79"/>
      <w:r w:rsidRPr="008615BE">
        <w:t>Restrictions visant l’accès à un entrepôt d’attente</w:t>
      </w:r>
    </w:p>
    <w:p w14:paraId="1FDCF4D7" w14:textId="6FD127CE" w:rsidR="008E4427" w:rsidRDefault="002849BC" w:rsidP="008615BE">
      <w:pPr>
        <w:pStyle w:val="ListParagraph"/>
        <w:numPr>
          <w:ilvl w:val="0"/>
          <w:numId w:val="3"/>
        </w:numPr>
        <w:contextualSpacing w:val="0"/>
        <w:rPr>
          <w:rFonts w:cs="Arial"/>
          <w:szCs w:val="24"/>
        </w:rPr>
      </w:pPr>
      <w:r>
        <w:rPr>
          <w:rFonts w:cs="Arial"/>
          <w:szCs w:val="24"/>
        </w:rPr>
        <w:t>Selon le</w:t>
      </w:r>
      <w:r w:rsidR="008615BE" w:rsidRPr="008E4427">
        <w:rPr>
          <w:rFonts w:cs="Arial"/>
          <w:szCs w:val="24"/>
        </w:rPr>
        <w:t xml:space="preserve"> paragraphe 12(2) du </w:t>
      </w:r>
      <w:r w:rsidR="008615BE" w:rsidRPr="00C14E78">
        <w:rPr>
          <w:rFonts w:cs="Arial"/>
          <w:i/>
          <w:iCs/>
          <w:szCs w:val="24"/>
        </w:rPr>
        <w:t>Règlement</w:t>
      </w:r>
      <w:r w:rsidR="008615BE" w:rsidRPr="008E4427">
        <w:rPr>
          <w:rFonts w:cs="Arial"/>
          <w:szCs w:val="24"/>
        </w:rPr>
        <w:t>, il est interdit à quiconque, à l’exception de l’exploitant, de ses employés et des employés des transporteurs chargés de conduire les marchandises à l’entrepôt d’attente ou de les en enlever, d’entrer, sans la présence d’un agent ou sa permission écrite, dans les parties de l’entrepôt où sont entreposées des marchandises.</w:t>
      </w:r>
    </w:p>
    <w:p w14:paraId="24CD8437" w14:textId="45F0EF37" w:rsidR="008E4427" w:rsidRDefault="008615BE" w:rsidP="008615BE">
      <w:pPr>
        <w:pStyle w:val="ListParagraph"/>
        <w:numPr>
          <w:ilvl w:val="0"/>
          <w:numId w:val="3"/>
        </w:numPr>
        <w:contextualSpacing w:val="0"/>
        <w:rPr>
          <w:rFonts w:cs="Arial"/>
          <w:szCs w:val="24"/>
        </w:rPr>
      </w:pPr>
      <w:r w:rsidRPr="008E4427">
        <w:rPr>
          <w:rFonts w:cs="Arial"/>
          <w:szCs w:val="24"/>
        </w:rPr>
        <w:t xml:space="preserve">L’exploitant de l’entrepôt doit prendre des mesures raisonnables pour interdire l’accès à l’entrepôt à toute personne non autorisée, à moins que celle-ci n’ait obtenu au préalable une autorisation écrite de l’ASFC ou qu’il y ait un agent de l’ASFC sur les lieux. Les panneaux annonçant cette interdiction doivent être placés à l’entrée de l’entrepôt. Lorsque des courtiers en douane ou des employés de courtiers en douane veulent obtenir des factures ou d’autres documents qui se trouvent à l’intérieur de colis, ils doivent être accompagnés d’un agent de l’ASFC. Des frais de services spéciaux, décrits dans le </w:t>
      </w:r>
      <w:hyperlink r:id="rId19" w:history="1">
        <w:r w:rsidRPr="008E4427">
          <w:rPr>
            <w:rStyle w:val="Hyperlink"/>
            <w:rFonts w:cs="Arial"/>
            <w:szCs w:val="24"/>
          </w:rPr>
          <w:t>Mémorandum D1-2-1</w:t>
        </w:r>
        <w:r w:rsidR="00154FBD">
          <w:rPr>
            <w:rStyle w:val="Hyperlink"/>
            <w:rFonts w:cs="Arial"/>
            <w:szCs w:val="24"/>
          </w:rPr>
          <w:t> :</w:t>
        </w:r>
        <w:r w:rsidRPr="008E4427">
          <w:rPr>
            <w:rStyle w:val="Hyperlink"/>
            <w:rFonts w:cs="Arial"/>
            <w:szCs w:val="24"/>
          </w:rPr>
          <w:t xml:space="preserve"> Services spéciaux</w:t>
        </w:r>
      </w:hyperlink>
      <w:r w:rsidRPr="008E4427">
        <w:rPr>
          <w:rFonts w:cs="Arial"/>
          <w:szCs w:val="24"/>
        </w:rPr>
        <w:t>, peuvent s’appliquer.</w:t>
      </w:r>
    </w:p>
    <w:p w14:paraId="14DEE837" w14:textId="13867F19" w:rsidR="008E4427" w:rsidRDefault="008615BE" w:rsidP="008615BE">
      <w:pPr>
        <w:pStyle w:val="ListParagraph"/>
        <w:numPr>
          <w:ilvl w:val="0"/>
          <w:numId w:val="3"/>
        </w:numPr>
        <w:contextualSpacing w:val="0"/>
        <w:rPr>
          <w:rFonts w:cs="Arial"/>
          <w:szCs w:val="24"/>
        </w:rPr>
      </w:pPr>
      <w:r w:rsidRPr="008E4427">
        <w:rPr>
          <w:rFonts w:cs="Arial"/>
          <w:szCs w:val="24"/>
        </w:rPr>
        <w:lastRenderedPageBreak/>
        <w:t>L’ASFC a autorisé les inspecteurs de la sûreté des transports (IST) de Transports Canada (TC) à accéder aux entrepôts d’attente agréés de transporteur</w:t>
      </w:r>
      <w:r w:rsidR="00276EED">
        <w:rPr>
          <w:rFonts w:cs="Arial"/>
          <w:szCs w:val="24"/>
        </w:rPr>
        <w:t>s</w:t>
      </w:r>
      <w:r w:rsidRPr="008E4427">
        <w:rPr>
          <w:rFonts w:cs="Arial"/>
          <w:szCs w:val="24"/>
        </w:rPr>
        <w:t xml:space="preserve"> aérien</w:t>
      </w:r>
      <w:r w:rsidR="00276EED">
        <w:rPr>
          <w:rFonts w:cs="Arial"/>
          <w:szCs w:val="24"/>
        </w:rPr>
        <w:t>s</w:t>
      </w:r>
      <w:r w:rsidRPr="008E4427">
        <w:rPr>
          <w:rFonts w:cs="Arial"/>
          <w:szCs w:val="24"/>
        </w:rPr>
        <w:t xml:space="preserve"> et au fret aérien sous douane qui s’y trouve. Les IST, qui font valoir l’observation du Programme de sûreté du fret aérien, </w:t>
      </w:r>
      <w:r w:rsidR="00276EED">
        <w:rPr>
          <w:rFonts w:cs="Arial"/>
          <w:szCs w:val="24"/>
        </w:rPr>
        <w:t>doivent</w:t>
      </w:r>
      <w:r w:rsidRPr="008E4427">
        <w:rPr>
          <w:rFonts w:cs="Arial"/>
          <w:szCs w:val="24"/>
        </w:rPr>
        <w:t xml:space="preserve"> </w:t>
      </w:r>
      <w:r w:rsidR="005853CC">
        <w:rPr>
          <w:rFonts w:cs="Arial"/>
          <w:szCs w:val="24"/>
        </w:rPr>
        <w:t xml:space="preserve">vérifier </w:t>
      </w:r>
      <w:r w:rsidRPr="008E4427">
        <w:rPr>
          <w:rFonts w:cs="Arial"/>
          <w:szCs w:val="24"/>
        </w:rPr>
        <w:t xml:space="preserve">que le Formulaire de sûreté du fret est joint aux connaissements aériens. Puisque le Formulaire de sûreté du fret n’est pas apposé sur les marchandises, les IST ne procèdent </w:t>
      </w:r>
      <w:r w:rsidR="00CF099C">
        <w:rPr>
          <w:rFonts w:cs="Arial"/>
          <w:szCs w:val="24"/>
        </w:rPr>
        <w:t>habituellement</w:t>
      </w:r>
      <w:r w:rsidRPr="008E4427">
        <w:rPr>
          <w:rFonts w:cs="Arial"/>
          <w:szCs w:val="24"/>
        </w:rPr>
        <w:t xml:space="preserve"> pas à un contrôle du fret.</w:t>
      </w:r>
    </w:p>
    <w:p w14:paraId="1580D664" w14:textId="77777777" w:rsidR="008E4427" w:rsidRDefault="008615BE" w:rsidP="008615BE">
      <w:pPr>
        <w:pStyle w:val="ListParagraph"/>
        <w:numPr>
          <w:ilvl w:val="0"/>
          <w:numId w:val="3"/>
        </w:numPr>
        <w:contextualSpacing w:val="0"/>
        <w:rPr>
          <w:rFonts w:cs="Arial"/>
          <w:szCs w:val="24"/>
        </w:rPr>
      </w:pPr>
      <w:r w:rsidRPr="008E4427">
        <w:rPr>
          <w:rFonts w:cs="Arial"/>
          <w:szCs w:val="24"/>
        </w:rPr>
        <w:t>Les IST n’ont pas à obtenir une permission spéciale du bureau local de l’ASFC. De plus, il n’est pas nécessaire qu’un agent de l’ASFC soit présent chaque fois qu’un IST doit entrer dans un entrepôt d’attente. Les IST détenant une carte d’identité d’inspecteur de TC valide ont accès à tous les entrepôts d’attente du fret aérien contrôlés par l’ASFC au Canada et n’ont qu’à présenter leur carte d’identité à l’exploitant de l’entrepôt pour y entrer.</w:t>
      </w:r>
    </w:p>
    <w:p w14:paraId="11968330" w14:textId="77777777" w:rsidR="008E4427" w:rsidRDefault="008615BE" w:rsidP="008615BE">
      <w:pPr>
        <w:pStyle w:val="ListParagraph"/>
        <w:numPr>
          <w:ilvl w:val="0"/>
          <w:numId w:val="3"/>
        </w:numPr>
        <w:contextualSpacing w:val="0"/>
        <w:rPr>
          <w:rFonts w:cs="Arial"/>
          <w:szCs w:val="24"/>
        </w:rPr>
      </w:pPr>
      <w:r w:rsidRPr="008E4427">
        <w:rPr>
          <w:rFonts w:cs="Arial"/>
          <w:szCs w:val="24"/>
        </w:rPr>
        <w:t>Les exploitants qui s’occupent de la manutention du fret importé pour le compte de transporteurs et d’importateurs doivent prendre des mesures raisonnables pour assurer en tout temps la confidentialité des renseignements concernant les expéditions de leurs clients.</w:t>
      </w:r>
      <w:bookmarkStart w:id="80" w:name="_bookmark26"/>
      <w:bookmarkStart w:id="81" w:name="ReceiptandRefusal"/>
      <w:bookmarkEnd w:id="80"/>
      <w:bookmarkEnd w:id="81"/>
    </w:p>
    <w:p w14:paraId="136CEBEB" w14:textId="27D2E40C" w:rsidR="008E4427" w:rsidRPr="008E4427" w:rsidRDefault="008E4427" w:rsidP="008E4427">
      <w:pPr>
        <w:pStyle w:val="Heading3"/>
      </w:pPr>
      <w:bookmarkStart w:id="82" w:name="_Réception_et_refus"/>
      <w:bookmarkEnd w:id="82"/>
      <w:r w:rsidRPr="008615BE">
        <w:t>Réception et refus des marchandises dans l’entrepôt</w:t>
      </w:r>
    </w:p>
    <w:p w14:paraId="3603CEBE" w14:textId="33A722A2" w:rsidR="008E4427" w:rsidRDefault="008615BE" w:rsidP="008615BE">
      <w:pPr>
        <w:pStyle w:val="ListParagraph"/>
        <w:numPr>
          <w:ilvl w:val="0"/>
          <w:numId w:val="3"/>
        </w:numPr>
        <w:contextualSpacing w:val="0"/>
        <w:rPr>
          <w:rFonts w:cs="Arial"/>
          <w:szCs w:val="24"/>
        </w:rPr>
      </w:pPr>
      <w:r w:rsidRPr="008E4427">
        <w:rPr>
          <w:rFonts w:cs="Arial"/>
          <w:szCs w:val="24"/>
        </w:rPr>
        <w:t xml:space="preserve">Pour se conformer à l’article 14 du </w:t>
      </w:r>
      <w:r w:rsidRPr="00C14E78">
        <w:rPr>
          <w:rFonts w:cs="Arial"/>
          <w:i/>
          <w:iCs/>
          <w:szCs w:val="24"/>
        </w:rPr>
        <w:t>Règlement</w:t>
      </w:r>
      <w:r w:rsidRPr="008E4427">
        <w:rPr>
          <w:rFonts w:cs="Arial"/>
          <w:szCs w:val="24"/>
        </w:rPr>
        <w:t xml:space="preserve">, l’exploitant doit accuser réception par voie électronique de toutes les marchandises importées placées dans l’entrepôt dès que le transporteur les lui remet. Pour ce faire, il transmet par voie électronique à l’arrivée des marchandises un Message d’attestation d’arrivée </w:t>
      </w:r>
      <w:r w:rsidR="00FE32C6">
        <w:rPr>
          <w:rFonts w:cs="Arial"/>
          <w:szCs w:val="24"/>
        </w:rPr>
        <w:t>en</w:t>
      </w:r>
      <w:r w:rsidRPr="008E4427">
        <w:rPr>
          <w:rFonts w:cs="Arial"/>
          <w:szCs w:val="24"/>
        </w:rPr>
        <w:t xml:space="preserve"> entrepôt (MAAE). Le MAAE doit </w:t>
      </w:r>
      <w:r w:rsidR="0067426D">
        <w:rPr>
          <w:rFonts w:cs="Arial"/>
          <w:szCs w:val="24"/>
        </w:rPr>
        <w:t>comprendre</w:t>
      </w:r>
      <w:r w:rsidRPr="008E4427">
        <w:rPr>
          <w:rFonts w:cs="Arial"/>
          <w:szCs w:val="24"/>
        </w:rPr>
        <w:t xml:space="preserve"> le code de sous</w:t>
      </w:r>
      <w:r w:rsidRPr="008E4427">
        <w:rPr>
          <w:rFonts w:cs="Arial"/>
          <w:szCs w:val="24"/>
        </w:rPr>
        <w:noBreakHyphen/>
        <w:t xml:space="preserve">emplacement d’entrepôt de l’exploitant. </w:t>
      </w:r>
      <w:r w:rsidR="00B676B4">
        <w:rPr>
          <w:rFonts w:cs="Arial"/>
          <w:szCs w:val="24"/>
        </w:rPr>
        <w:t>U</w:t>
      </w:r>
      <w:r w:rsidRPr="008E4427">
        <w:rPr>
          <w:rFonts w:cs="Arial"/>
          <w:szCs w:val="24"/>
        </w:rPr>
        <w:t>ne liste des codes de sous</w:t>
      </w:r>
      <w:r w:rsidRPr="008E4427">
        <w:rPr>
          <w:rFonts w:cs="Arial"/>
          <w:szCs w:val="24"/>
        </w:rPr>
        <w:noBreakHyphen/>
        <w:t xml:space="preserve">emplacement d’entrepôt </w:t>
      </w:r>
      <w:r w:rsidR="00B676B4">
        <w:rPr>
          <w:rFonts w:cs="Arial"/>
          <w:szCs w:val="24"/>
        </w:rPr>
        <w:t xml:space="preserve">se trouve </w:t>
      </w:r>
      <w:r w:rsidRPr="008E4427">
        <w:rPr>
          <w:rFonts w:cs="Arial"/>
          <w:szCs w:val="24"/>
        </w:rPr>
        <w:t xml:space="preserve">sur le </w:t>
      </w:r>
      <w:hyperlink r:id="rId20" w:history="1">
        <w:r w:rsidRPr="008E4427">
          <w:rPr>
            <w:rStyle w:val="Hyperlink"/>
            <w:rFonts w:cs="Arial"/>
            <w:szCs w:val="24"/>
          </w:rPr>
          <w:t>site Web de l’ASFC</w:t>
        </w:r>
      </w:hyperlink>
      <w:r w:rsidRPr="008E4427">
        <w:rPr>
          <w:rFonts w:cs="Arial"/>
          <w:szCs w:val="24"/>
        </w:rPr>
        <w:t xml:space="preserve">. Les exploitants d’entrepôt agréés doivent être inscrits à titre de participants au Système de transmission des avis de mainlevée (STAM) de l’ASFC par échange de données informatisé (EDI) ou ils doivent recourir à un tiers fournisseur de services pour </w:t>
      </w:r>
      <w:r w:rsidR="00AC19C9">
        <w:rPr>
          <w:rFonts w:cs="Arial"/>
          <w:szCs w:val="24"/>
        </w:rPr>
        <w:t>transmettre</w:t>
      </w:r>
      <w:r w:rsidRPr="008E4427">
        <w:rPr>
          <w:rFonts w:cs="Arial"/>
          <w:szCs w:val="24"/>
        </w:rPr>
        <w:t xml:space="preserve"> leurs messages d’arrivée. Pour plus de renseignements au sujet des communications électroniques, voir les paragraphes 8</w:t>
      </w:r>
      <w:r w:rsidR="00FD7BAD">
        <w:rPr>
          <w:rFonts w:cs="Arial"/>
          <w:szCs w:val="24"/>
        </w:rPr>
        <w:t>5</w:t>
      </w:r>
      <w:r w:rsidRPr="008E4427">
        <w:rPr>
          <w:rFonts w:cs="Arial"/>
          <w:szCs w:val="24"/>
        </w:rPr>
        <w:t xml:space="preserve"> à </w:t>
      </w:r>
      <w:r w:rsidR="00FD7BAD">
        <w:rPr>
          <w:rFonts w:cs="Arial"/>
          <w:szCs w:val="24"/>
        </w:rPr>
        <w:t>88</w:t>
      </w:r>
      <w:r w:rsidRPr="008E4427">
        <w:rPr>
          <w:rFonts w:cs="Arial"/>
          <w:szCs w:val="24"/>
        </w:rPr>
        <w:t xml:space="preserve"> ci</w:t>
      </w:r>
      <w:r w:rsidRPr="008E4427">
        <w:rPr>
          <w:rFonts w:cs="Arial"/>
          <w:szCs w:val="24"/>
        </w:rPr>
        <w:noBreakHyphen/>
        <w:t>dessous.</w:t>
      </w:r>
    </w:p>
    <w:p w14:paraId="1A5B862F" w14:textId="48872331" w:rsidR="008E4427" w:rsidRDefault="008615BE" w:rsidP="008615BE">
      <w:pPr>
        <w:pStyle w:val="ListParagraph"/>
        <w:numPr>
          <w:ilvl w:val="0"/>
          <w:numId w:val="3"/>
        </w:numPr>
        <w:contextualSpacing w:val="0"/>
        <w:rPr>
          <w:rFonts w:cs="Arial"/>
          <w:szCs w:val="24"/>
        </w:rPr>
      </w:pPr>
      <w:r w:rsidRPr="008E4427">
        <w:rPr>
          <w:rFonts w:cs="Arial"/>
          <w:szCs w:val="24"/>
        </w:rPr>
        <w:t xml:space="preserve">Cependant, </w:t>
      </w:r>
      <w:r w:rsidR="00AC19C9">
        <w:rPr>
          <w:rFonts w:cs="Arial"/>
          <w:szCs w:val="24"/>
        </w:rPr>
        <w:t>si</w:t>
      </w:r>
      <w:r w:rsidRPr="008E4427">
        <w:rPr>
          <w:rFonts w:cs="Arial"/>
          <w:szCs w:val="24"/>
        </w:rPr>
        <w:t xml:space="preserve"> les marchandises transportées au Canada par un service de messagerie ou au nom d’un service de messagerie sont dédouanées en vertu du </w:t>
      </w:r>
      <w:r w:rsidRPr="008E4427">
        <w:rPr>
          <w:rFonts w:cs="Arial"/>
          <w:szCs w:val="24"/>
        </w:rPr>
        <w:lastRenderedPageBreak/>
        <w:t xml:space="preserve">paragraphe 32(4) de la </w:t>
      </w:r>
      <w:r w:rsidRPr="00880932">
        <w:rPr>
          <w:rFonts w:cs="Arial"/>
          <w:i/>
          <w:iCs/>
          <w:szCs w:val="24"/>
        </w:rPr>
        <w:t>Loi</w:t>
      </w:r>
      <w:r w:rsidRPr="008E4427">
        <w:rPr>
          <w:rFonts w:cs="Arial"/>
          <w:szCs w:val="24"/>
        </w:rPr>
        <w:t xml:space="preserve"> avant le paiement des droits, l’exploitant doit accuser réception des marchandises dans l’entrepôt d’attente en :</w:t>
      </w:r>
    </w:p>
    <w:p w14:paraId="7002B32B" w14:textId="77777777" w:rsidR="008E4427" w:rsidRDefault="008615BE" w:rsidP="008615BE">
      <w:pPr>
        <w:pStyle w:val="ListParagraph"/>
        <w:numPr>
          <w:ilvl w:val="1"/>
          <w:numId w:val="3"/>
        </w:numPr>
        <w:contextualSpacing w:val="0"/>
        <w:rPr>
          <w:rFonts w:cs="Arial"/>
          <w:szCs w:val="24"/>
        </w:rPr>
      </w:pPr>
      <w:r w:rsidRPr="008E4427">
        <w:rPr>
          <w:rFonts w:cs="Arial"/>
          <w:szCs w:val="24"/>
        </w:rPr>
        <w:t xml:space="preserve">endossant le connaissement, la feuille d’expédition ou un autre document semblable présenté par le transporteur; </w:t>
      </w:r>
    </w:p>
    <w:p w14:paraId="063625EB" w14:textId="4453D185" w:rsidR="008E4427" w:rsidRDefault="008615BE" w:rsidP="008615BE">
      <w:pPr>
        <w:pStyle w:val="ListParagraph"/>
        <w:numPr>
          <w:ilvl w:val="1"/>
          <w:numId w:val="3"/>
        </w:numPr>
        <w:contextualSpacing w:val="0"/>
        <w:rPr>
          <w:rFonts w:cs="Arial"/>
          <w:szCs w:val="24"/>
        </w:rPr>
      </w:pPr>
      <w:r w:rsidRPr="008E4427">
        <w:rPr>
          <w:rFonts w:cs="Arial"/>
          <w:szCs w:val="24"/>
        </w:rPr>
        <w:t xml:space="preserve">endossant le document des douanes sur lequel les marchandises sont déclarées en vertu du </w:t>
      </w:r>
      <w:hyperlink r:id="rId21" w:history="1">
        <w:r w:rsidRPr="00880932">
          <w:rPr>
            <w:rStyle w:val="Hyperlink"/>
            <w:rFonts w:cs="Arial"/>
            <w:i/>
            <w:iCs/>
            <w:szCs w:val="24"/>
          </w:rPr>
          <w:t>Règlement sur la déclaration des marchandises importées</w:t>
        </w:r>
      </w:hyperlink>
      <w:r w:rsidRPr="008E4427">
        <w:rPr>
          <w:rFonts w:cs="Arial"/>
          <w:szCs w:val="24"/>
        </w:rPr>
        <w:t>;</w:t>
      </w:r>
    </w:p>
    <w:p w14:paraId="2190C28A" w14:textId="77777777" w:rsidR="008E4427" w:rsidRDefault="008615BE" w:rsidP="008615BE">
      <w:pPr>
        <w:pStyle w:val="ListParagraph"/>
        <w:numPr>
          <w:ilvl w:val="1"/>
          <w:numId w:val="3"/>
        </w:numPr>
        <w:contextualSpacing w:val="0"/>
        <w:rPr>
          <w:rFonts w:cs="Arial"/>
          <w:szCs w:val="24"/>
        </w:rPr>
      </w:pPr>
      <w:r w:rsidRPr="008E4427">
        <w:rPr>
          <w:rFonts w:cs="Arial"/>
          <w:szCs w:val="24"/>
        </w:rPr>
        <w:t xml:space="preserve">remettant un document de transfert au transporteur. </w:t>
      </w:r>
    </w:p>
    <w:p w14:paraId="6244F93E" w14:textId="5E99A33F" w:rsidR="008E4427" w:rsidRDefault="008615BE" w:rsidP="008615BE">
      <w:pPr>
        <w:pStyle w:val="ListParagraph"/>
        <w:numPr>
          <w:ilvl w:val="0"/>
          <w:numId w:val="3"/>
        </w:numPr>
        <w:contextualSpacing w:val="0"/>
        <w:rPr>
          <w:rFonts w:cs="Arial"/>
          <w:szCs w:val="24"/>
        </w:rPr>
      </w:pPr>
      <w:r w:rsidRPr="008E4427">
        <w:rPr>
          <w:rFonts w:cs="Arial"/>
          <w:szCs w:val="24"/>
        </w:rPr>
        <w:t>Lorsque plusieurs conteneurs sont inscrits sur un seul document de contrôle du fret en vue de leur importation, mais qu’ils arrivent à l’entrepôt à des moments différents, l’exploitant envoie le MAAE lorsque le premier conteneur arrive physiquement à l’entrepôt, à condition que tous les conteneurs se trouvent au Canada.</w:t>
      </w:r>
    </w:p>
    <w:p w14:paraId="282A054D" w14:textId="236627B6" w:rsidR="008E4427" w:rsidRDefault="008615BE" w:rsidP="008615BE">
      <w:pPr>
        <w:pStyle w:val="ListParagraph"/>
        <w:numPr>
          <w:ilvl w:val="0"/>
          <w:numId w:val="3"/>
        </w:numPr>
        <w:contextualSpacing w:val="0"/>
        <w:rPr>
          <w:rFonts w:cs="Arial"/>
          <w:szCs w:val="24"/>
        </w:rPr>
      </w:pPr>
      <w:r w:rsidRPr="008E4427">
        <w:rPr>
          <w:rFonts w:cs="Arial"/>
          <w:szCs w:val="24"/>
        </w:rPr>
        <w:t xml:space="preserve">En accusant réception, l’exploitant accepte la responsabilité des droits et </w:t>
      </w:r>
      <w:r w:rsidR="00474A0F">
        <w:rPr>
          <w:rFonts w:cs="Arial"/>
          <w:szCs w:val="24"/>
        </w:rPr>
        <w:t xml:space="preserve">des </w:t>
      </w:r>
      <w:r w:rsidRPr="008E4427">
        <w:rPr>
          <w:rFonts w:cs="Arial"/>
          <w:szCs w:val="24"/>
        </w:rPr>
        <w:t>taxes exigibles sur les marchandises importées.</w:t>
      </w:r>
    </w:p>
    <w:p w14:paraId="385D386D" w14:textId="4718901D" w:rsidR="008E4427" w:rsidRDefault="008615BE" w:rsidP="008615BE">
      <w:pPr>
        <w:pStyle w:val="ListParagraph"/>
        <w:numPr>
          <w:ilvl w:val="0"/>
          <w:numId w:val="3"/>
        </w:numPr>
        <w:contextualSpacing w:val="0"/>
        <w:rPr>
          <w:rFonts w:cs="Arial"/>
          <w:szCs w:val="24"/>
        </w:rPr>
      </w:pPr>
      <w:r w:rsidRPr="008E4427">
        <w:rPr>
          <w:rFonts w:cs="Arial"/>
          <w:szCs w:val="24"/>
        </w:rPr>
        <w:t xml:space="preserve">Le défaut de transmission du MAAE peut entraîner l’imposition d’une pénalité du Régime de sanctions administratives pécuniaires (RSAP). </w:t>
      </w:r>
    </w:p>
    <w:p w14:paraId="7D156F07" w14:textId="607D471B" w:rsidR="008E4427" w:rsidRDefault="008615BE" w:rsidP="008615BE">
      <w:pPr>
        <w:pStyle w:val="ListParagraph"/>
        <w:numPr>
          <w:ilvl w:val="0"/>
          <w:numId w:val="3"/>
        </w:numPr>
        <w:contextualSpacing w:val="0"/>
        <w:rPr>
          <w:rFonts w:cs="Arial"/>
          <w:szCs w:val="24"/>
        </w:rPr>
      </w:pPr>
      <w:r w:rsidRPr="008E4427">
        <w:rPr>
          <w:rFonts w:cs="Arial"/>
          <w:szCs w:val="24"/>
        </w:rPr>
        <w:t>L’exploitant ne peut pas refuser des marchandises admissibles selon les modalités de son agrément, sauf si l’entreposage est demandé par une personne ou au nom d’une personne qui a des frais d’entreposage impayés à cet entrepôt</w:t>
      </w:r>
      <w:bookmarkStart w:id="83" w:name="_bookmark27"/>
      <w:bookmarkStart w:id="84" w:name="ElectronicCommunication"/>
      <w:bookmarkEnd w:id="83"/>
      <w:bookmarkEnd w:id="84"/>
      <w:r w:rsidR="00DD72FB">
        <w:rPr>
          <w:rFonts w:cs="Arial"/>
          <w:szCs w:val="24"/>
        </w:rPr>
        <w:t>.</w:t>
      </w:r>
    </w:p>
    <w:p w14:paraId="4DBA5759" w14:textId="77777777" w:rsidR="008E4427" w:rsidRDefault="008615BE" w:rsidP="008E4427">
      <w:pPr>
        <w:pStyle w:val="Heading3"/>
      </w:pPr>
      <w:bookmarkStart w:id="85" w:name="_Communication_électronique_avec"/>
      <w:bookmarkEnd w:id="85"/>
      <w:r w:rsidRPr="008E4427">
        <w:t>Communication électronique avec l’ASFC</w:t>
      </w:r>
      <w:bookmarkStart w:id="86" w:name="_bookmark28"/>
      <w:bookmarkStart w:id="87" w:name="paragraph71"/>
      <w:bookmarkStart w:id="88" w:name="paragraph72"/>
      <w:bookmarkStart w:id="89" w:name="elecomms"/>
      <w:bookmarkEnd w:id="86"/>
      <w:bookmarkEnd w:id="87"/>
      <w:bookmarkEnd w:id="88"/>
      <w:bookmarkEnd w:id="89"/>
    </w:p>
    <w:p w14:paraId="798EA48C" w14:textId="3A8BF3DD" w:rsidR="008E4427" w:rsidRDefault="008615BE" w:rsidP="008615BE">
      <w:pPr>
        <w:pStyle w:val="ListParagraph"/>
        <w:numPr>
          <w:ilvl w:val="0"/>
          <w:numId w:val="3"/>
        </w:numPr>
        <w:contextualSpacing w:val="0"/>
        <w:rPr>
          <w:rFonts w:cs="Arial"/>
          <w:szCs w:val="24"/>
        </w:rPr>
      </w:pPr>
      <w:r w:rsidRPr="008E4427">
        <w:rPr>
          <w:rFonts w:cs="Arial"/>
          <w:szCs w:val="24"/>
        </w:rPr>
        <w:t>L</w:t>
      </w:r>
      <w:r w:rsidR="00142DEB">
        <w:rPr>
          <w:rFonts w:cs="Arial"/>
          <w:szCs w:val="24"/>
        </w:rPr>
        <w:t>’</w:t>
      </w:r>
      <w:r w:rsidRPr="008E4427">
        <w:rPr>
          <w:rFonts w:cs="Arial"/>
          <w:szCs w:val="24"/>
        </w:rPr>
        <w:t>exploitant d’entrepôt agréé doit transmettre les données par le</w:t>
      </w:r>
      <w:r w:rsidR="00C532E0">
        <w:rPr>
          <w:rFonts w:cs="Arial"/>
          <w:szCs w:val="24"/>
        </w:rPr>
        <w:t>s</w:t>
      </w:r>
      <w:r w:rsidRPr="008E4427">
        <w:rPr>
          <w:rFonts w:cs="Arial"/>
          <w:szCs w:val="24"/>
        </w:rPr>
        <w:t xml:space="preserve"> systèmes EDI de l’ASFC. Avant de lancer le processus de demande (</w:t>
      </w:r>
      <w:r w:rsidR="00142DEB">
        <w:rPr>
          <w:rFonts w:cs="Arial"/>
          <w:szCs w:val="24"/>
        </w:rPr>
        <w:t>présenté</w:t>
      </w:r>
      <w:r w:rsidRPr="008E4427">
        <w:rPr>
          <w:rFonts w:cs="Arial"/>
          <w:szCs w:val="24"/>
        </w:rPr>
        <w:t xml:space="preserve"> ci</w:t>
      </w:r>
      <w:r w:rsidRPr="008E4427">
        <w:rPr>
          <w:rFonts w:cs="Arial"/>
          <w:szCs w:val="24"/>
        </w:rPr>
        <w:noBreakHyphen/>
        <w:t xml:space="preserve">dessous), il doit détenir un agrément d’exploitant d’entrepôt valide. </w:t>
      </w:r>
      <w:bookmarkStart w:id="90" w:name="_bookmark29"/>
      <w:bookmarkStart w:id="91" w:name="ApplicationtoTransmitElectronicData"/>
      <w:bookmarkEnd w:id="90"/>
      <w:bookmarkEnd w:id="91"/>
    </w:p>
    <w:p w14:paraId="3CD86F3D" w14:textId="77777777" w:rsidR="008E4427" w:rsidRDefault="008615BE" w:rsidP="008E4427">
      <w:pPr>
        <w:pStyle w:val="Heading3"/>
      </w:pPr>
      <w:bookmarkStart w:id="92" w:name="_Demande_de_transmission"/>
      <w:bookmarkEnd w:id="92"/>
      <w:r w:rsidRPr="008E4427">
        <w:t>Demande de transmission de données par voie électronique à l’ASFC</w:t>
      </w:r>
    </w:p>
    <w:p w14:paraId="33C00603" w14:textId="61C1E70F" w:rsidR="008E4427" w:rsidRDefault="008615BE" w:rsidP="008615BE">
      <w:pPr>
        <w:pStyle w:val="ListParagraph"/>
        <w:numPr>
          <w:ilvl w:val="0"/>
          <w:numId w:val="3"/>
        </w:numPr>
        <w:contextualSpacing w:val="0"/>
        <w:rPr>
          <w:rFonts w:cs="Arial"/>
          <w:szCs w:val="24"/>
        </w:rPr>
      </w:pPr>
      <w:r w:rsidRPr="008E4427">
        <w:rPr>
          <w:rFonts w:cs="Arial"/>
          <w:szCs w:val="24"/>
        </w:rPr>
        <w:t>L</w:t>
      </w:r>
      <w:r w:rsidR="00CD0159">
        <w:rPr>
          <w:rFonts w:cs="Arial"/>
          <w:szCs w:val="24"/>
        </w:rPr>
        <w:t>’</w:t>
      </w:r>
      <w:r w:rsidRPr="008E4427">
        <w:rPr>
          <w:rFonts w:cs="Arial"/>
          <w:szCs w:val="24"/>
        </w:rPr>
        <w:t>exploitant d’entrepôt</w:t>
      </w:r>
      <w:r w:rsidR="000B7C09">
        <w:rPr>
          <w:rFonts w:cs="Arial"/>
          <w:szCs w:val="24"/>
        </w:rPr>
        <w:t>s</w:t>
      </w:r>
      <w:r w:rsidRPr="008E4427">
        <w:rPr>
          <w:rFonts w:cs="Arial"/>
          <w:szCs w:val="24"/>
        </w:rPr>
        <w:t xml:space="preserve"> doit remplir un formulaire </w:t>
      </w:r>
      <w:r w:rsidR="000B7C09">
        <w:rPr>
          <w:rFonts w:cs="Arial"/>
          <w:szCs w:val="24"/>
        </w:rPr>
        <w:t xml:space="preserve">et s’enregistrer pour transmettre des données </w:t>
      </w:r>
      <w:r w:rsidR="00E86BF4">
        <w:rPr>
          <w:rFonts w:cs="Arial"/>
          <w:szCs w:val="24"/>
        </w:rPr>
        <w:t>à</w:t>
      </w:r>
      <w:r w:rsidR="000B7C09">
        <w:rPr>
          <w:rFonts w:cs="Arial"/>
          <w:szCs w:val="24"/>
        </w:rPr>
        <w:t xml:space="preserve"> l’ASFC</w:t>
      </w:r>
      <w:r w:rsidRPr="008E4427">
        <w:rPr>
          <w:rFonts w:cs="Arial"/>
          <w:szCs w:val="24"/>
        </w:rPr>
        <w:t xml:space="preserve"> </w:t>
      </w:r>
      <w:r w:rsidR="00E86BF4">
        <w:rPr>
          <w:rFonts w:cs="Arial"/>
          <w:szCs w:val="24"/>
        </w:rPr>
        <w:t xml:space="preserve">et en recevoir au moyen </w:t>
      </w:r>
      <w:r w:rsidR="00F37D2E">
        <w:rPr>
          <w:rFonts w:cs="Arial"/>
          <w:szCs w:val="24"/>
        </w:rPr>
        <w:t>de</w:t>
      </w:r>
      <w:r w:rsidR="000B7C09">
        <w:rPr>
          <w:rFonts w:cs="Arial"/>
          <w:szCs w:val="24"/>
        </w:rPr>
        <w:t xml:space="preserve"> l’EDI. Pour plus </w:t>
      </w:r>
      <w:r w:rsidR="00271F8D">
        <w:rPr>
          <w:rFonts w:cs="Arial"/>
          <w:szCs w:val="24"/>
        </w:rPr>
        <w:t>de renseignements</w:t>
      </w:r>
      <w:r w:rsidR="000B7C09">
        <w:rPr>
          <w:rFonts w:cs="Arial"/>
          <w:szCs w:val="24"/>
        </w:rPr>
        <w:t xml:space="preserve"> </w:t>
      </w:r>
      <w:r w:rsidR="008C15DE">
        <w:rPr>
          <w:rFonts w:cs="Arial"/>
          <w:szCs w:val="24"/>
        </w:rPr>
        <w:t>pour s’inscrire à l’</w:t>
      </w:r>
      <w:r w:rsidR="000B7C09">
        <w:rPr>
          <w:rFonts w:cs="Arial"/>
          <w:szCs w:val="24"/>
        </w:rPr>
        <w:t xml:space="preserve">EDI, et pour télécharger </w:t>
      </w:r>
      <w:r w:rsidR="00E902D8">
        <w:rPr>
          <w:rFonts w:cs="Arial"/>
          <w:szCs w:val="24"/>
        </w:rPr>
        <w:t xml:space="preserve">le formulaire de demande, visiter le site </w:t>
      </w:r>
      <w:r w:rsidR="00BC421B">
        <w:rPr>
          <w:rFonts w:cs="Arial"/>
          <w:szCs w:val="24"/>
        </w:rPr>
        <w:t>W</w:t>
      </w:r>
      <w:r w:rsidR="00E902D8">
        <w:rPr>
          <w:rFonts w:cs="Arial"/>
          <w:szCs w:val="24"/>
        </w:rPr>
        <w:t xml:space="preserve">eb </w:t>
      </w:r>
      <w:hyperlink r:id="rId22" w:history="1">
        <w:r w:rsidR="008C15DE">
          <w:rPr>
            <w:rStyle w:val="Hyperlink"/>
            <w:rFonts w:cs="Arial"/>
            <w:szCs w:val="24"/>
          </w:rPr>
          <w:t>P</w:t>
        </w:r>
        <w:r w:rsidR="00E902D8" w:rsidRPr="00E902D8">
          <w:rPr>
            <w:rStyle w:val="Hyperlink"/>
            <w:rFonts w:cs="Arial"/>
            <w:szCs w:val="24"/>
          </w:rPr>
          <w:t>ortail et système</w:t>
        </w:r>
        <w:r w:rsidR="008C15DE">
          <w:rPr>
            <w:rStyle w:val="Hyperlink"/>
            <w:rFonts w:cs="Arial"/>
            <w:szCs w:val="24"/>
          </w:rPr>
          <w:t>s</w:t>
        </w:r>
        <w:r w:rsidR="00E902D8" w:rsidRPr="00E902D8">
          <w:rPr>
            <w:rStyle w:val="Hyperlink"/>
            <w:rFonts w:cs="Arial"/>
            <w:szCs w:val="24"/>
          </w:rPr>
          <w:t xml:space="preserve"> </w:t>
        </w:r>
        <w:r w:rsidR="008C15DE">
          <w:rPr>
            <w:rStyle w:val="Hyperlink"/>
            <w:rFonts w:cs="Arial"/>
            <w:szCs w:val="24"/>
          </w:rPr>
          <w:t>É</w:t>
        </w:r>
        <w:r w:rsidR="00E902D8" w:rsidRPr="00E902D8">
          <w:rPr>
            <w:rStyle w:val="Hyperlink"/>
            <w:rFonts w:cs="Arial"/>
            <w:szCs w:val="24"/>
          </w:rPr>
          <w:t>change de données informatisées</w:t>
        </w:r>
      </w:hyperlink>
      <w:r w:rsidR="00E902D8">
        <w:rPr>
          <w:rFonts w:cs="Arial"/>
          <w:szCs w:val="24"/>
        </w:rPr>
        <w:t xml:space="preserve"> et sélectionner «</w:t>
      </w:r>
      <w:r w:rsidR="008C15DE">
        <w:rPr>
          <w:rFonts w:cs="Arial"/>
          <w:szCs w:val="24"/>
        </w:rPr>
        <w:t> </w:t>
      </w:r>
      <w:r w:rsidR="00E902D8">
        <w:rPr>
          <w:rFonts w:cs="Arial"/>
          <w:szCs w:val="24"/>
        </w:rPr>
        <w:t>Devenir un client</w:t>
      </w:r>
      <w:r w:rsidR="008C15DE">
        <w:rPr>
          <w:rFonts w:cs="Arial"/>
          <w:szCs w:val="24"/>
        </w:rPr>
        <w:t> </w:t>
      </w:r>
      <w:r w:rsidR="00E902D8">
        <w:rPr>
          <w:rFonts w:cs="Arial"/>
          <w:szCs w:val="24"/>
        </w:rPr>
        <w:t>».</w:t>
      </w:r>
    </w:p>
    <w:p w14:paraId="0EA2B277" w14:textId="716398EA" w:rsidR="008E4427" w:rsidRDefault="008615BE" w:rsidP="008615BE">
      <w:pPr>
        <w:pStyle w:val="ListParagraph"/>
        <w:numPr>
          <w:ilvl w:val="0"/>
          <w:numId w:val="3"/>
        </w:numPr>
        <w:contextualSpacing w:val="0"/>
        <w:rPr>
          <w:rFonts w:cs="Arial"/>
          <w:szCs w:val="24"/>
        </w:rPr>
      </w:pPr>
      <w:r w:rsidRPr="008E4427">
        <w:rPr>
          <w:rFonts w:cs="Arial"/>
          <w:szCs w:val="24"/>
        </w:rPr>
        <w:t xml:space="preserve">Les clients EDI peuvent choisir de transmettre eux-mêmes leurs données à l’ASFC ou d’avoir recours à un fournisseur de services. Pour plus de renseignements sur la façon de </w:t>
      </w:r>
      <w:r w:rsidR="00ED3C9D" w:rsidRPr="008E4427">
        <w:rPr>
          <w:rFonts w:cs="Arial"/>
          <w:szCs w:val="24"/>
        </w:rPr>
        <w:t>particip</w:t>
      </w:r>
      <w:r w:rsidR="00ED3C9D">
        <w:rPr>
          <w:rFonts w:cs="Arial"/>
          <w:szCs w:val="24"/>
        </w:rPr>
        <w:t>er</w:t>
      </w:r>
      <w:r w:rsidRPr="008E4427">
        <w:rPr>
          <w:rFonts w:cs="Arial"/>
          <w:szCs w:val="24"/>
        </w:rPr>
        <w:t>,</w:t>
      </w:r>
      <w:r w:rsidR="00ED3C9D">
        <w:rPr>
          <w:rFonts w:cs="Arial"/>
          <w:szCs w:val="24"/>
        </w:rPr>
        <w:t xml:space="preserve"> les méthodes de communication électronique et de l’information général</w:t>
      </w:r>
      <w:r w:rsidR="004C51BB">
        <w:rPr>
          <w:rFonts w:cs="Arial"/>
          <w:szCs w:val="24"/>
        </w:rPr>
        <w:t>e</w:t>
      </w:r>
      <w:r w:rsidR="00ED3C9D">
        <w:rPr>
          <w:rFonts w:cs="Arial"/>
          <w:szCs w:val="24"/>
        </w:rPr>
        <w:t xml:space="preserve"> sur l’EDI,</w:t>
      </w:r>
      <w:r w:rsidRPr="008E4427">
        <w:rPr>
          <w:rFonts w:cs="Arial"/>
          <w:szCs w:val="24"/>
        </w:rPr>
        <w:t xml:space="preserve"> consulte</w:t>
      </w:r>
      <w:r w:rsidR="004C51BB">
        <w:rPr>
          <w:rFonts w:cs="Arial"/>
          <w:szCs w:val="24"/>
        </w:rPr>
        <w:t>r</w:t>
      </w:r>
      <w:r w:rsidRPr="008E4427">
        <w:rPr>
          <w:rFonts w:cs="Arial"/>
          <w:szCs w:val="24"/>
        </w:rPr>
        <w:t xml:space="preserve"> le site </w:t>
      </w:r>
      <w:r w:rsidR="00BC421B">
        <w:rPr>
          <w:rFonts w:cs="Arial"/>
          <w:szCs w:val="24"/>
        </w:rPr>
        <w:t>W</w:t>
      </w:r>
      <w:r w:rsidRPr="008E4427">
        <w:rPr>
          <w:rFonts w:cs="Arial"/>
          <w:szCs w:val="24"/>
        </w:rPr>
        <w:t xml:space="preserve">eb </w:t>
      </w:r>
      <w:hyperlink r:id="rId23" w:history="1">
        <w:r w:rsidRPr="008E4427">
          <w:rPr>
            <w:rStyle w:val="Hyperlink"/>
            <w:rFonts w:cs="Arial"/>
            <w:szCs w:val="24"/>
          </w:rPr>
          <w:t>Portail et systèmes EDI</w:t>
        </w:r>
      </w:hyperlink>
      <w:r w:rsidRPr="008E4427">
        <w:rPr>
          <w:rFonts w:cs="Arial"/>
          <w:szCs w:val="24"/>
        </w:rPr>
        <w:t>.</w:t>
      </w:r>
    </w:p>
    <w:p w14:paraId="4409BD0A" w14:textId="14EE3AC0" w:rsidR="008E4427" w:rsidRDefault="008615BE" w:rsidP="008615BE">
      <w:pPr>
        <w:pStyle w:val="ListParagraph"/>
        <w:numPr>
          <w:ilvl w:val="0"/>
          <w:numId w:val="3"/>
        </w:numPr>
        <w:contextualSpacing w:val="0"/>
        <w:rPr>
          <w:rFonts w:cs="Arial"/>
          <w:szCs w:val="24"/>
        </w:rPr>
      </w:pPr>
      <w:r w:rsidRPr="008E4427">
        <w:rPr>
          <w:rFonts w:cs="Arial"/>
          <w:szCs w:val="24"/>
        </w:rPr>
        <w:t>Pour toute demande de renseignements concernant un problème lié à la transmission de données par voie électronique et le processus de demande connexe, communiquer avec l’</w:t>
      </w:r>
      <w:r w:rsidR="00877EAA">
        <w:rPr>
          <w:rFonts w:cs="Arial"/>
          <w:szCs w:val="24"/>
        </w:rPr>
        <w:t>Unité des services techniques aux clients commerciaux (</w:t>
      </w:r>
      <w:r w:rsidRPr="008E4427">
        <w:rPr>
          <w:rFonts w:cs="Arial"/>
          <w:szCs w:val="24"/>
        </w:rPr>
        <w:t>USTCC</w:t>
      </w:r>
      <w:r w:rsidR="00877EAA">
        <w:rPr>
          <w:rFonts w:cs="Arial"/>
          <w:szCs w:val="24"/>
        </w:rPr>
        <w:t>)</w:t>
      </w:r>
      <w:r w:rsidRPr="008E4427">
        <w:rPr>
          <w:rFonts w:cs="Arial"/>
          <w:szCs w:val="24"/>
        </w:rPr>
        <w:t> :</w:t>
      </w:r>
    </w:p>
    <w:p w14:paraId="2FD66C56" w14:textId="142F2B01" w:rsidR="008E4427" w:rsidRPr="008E4427" w:rsidRDefault="008E4427" w:rsidP="008E4427">
      <w:pPr>
        <w:spacing w:line="345" w:lineRule="exact"/>
        <w:ind w:left="720"/>
        <w:rPr>
          <w:rFonts w:ascii="Arial" w:hAnsi="Arial" w:cs="Arial"/>
          <w:sz w:val="24"/>
          <w:szCs w:val="24"/>
          <w:lang w:val="fr-CA"/>
        </w:rPr>
      </w:pPr>
      <w:r w:rsidRPr="008615BE">
        <w:rPr>
          <w:rFonts w:ascii="Arial" w:hAnsi="Arial" w:cs="Arial"/>
          <w:sz w:val="24"/>
          <w:szCs w:val="24"/>
          <w:lang w:val="fr-CA"/>
        </w:rPr>
        <w:t xml:space="preserve">Courriel : </w:t>
      </w:r>
      <w:hyperlink r:id="rId24" w:history="1">
        <w:r w:rsidRPr="008615BE">
          <w:rPr>
            <w:rStyle w:val="Hyperlink"/>
            <w:rFonts w:ascii="Arial" w:hAnsi="Arial" w:cs="Arial"/>
            <w:sz w:val="24"/>
            <w:szCs w:val="24"/>
            <w:lang w:val="fr-CA"/>
          </w:rPr>
          <w:t>tccu-ustcc@cbsa-asfc.gc.ca</w:t>
        </w:r>
      </w:hyperlink>
      <w:r w:rsidRPr="008615BE">
        <w:rPr>
          <w:rFonts w:ascii="Arial" w:hAnsi="Arial" w:cs="Arial"/>
          <w:sz w:val="24"/>
          <w:szCs w:val="24"/>
          <w:lang w:val="fr-CA"/>
        </w:rPr>
        <w:t xml:space="preserve"> </w:t>
      </w:r>
      <w:r w:rsidRPr="008615BE">
        <w:rPr>
          <w:rFonts w:ascii="Arial" w:hAnsi="Arial" w:cs="Arial"/>
          <w:sz w:val="24"/>
          <w:szCs w:val="24"/>
          <w:lang w:val="fr-CA"/>
        </w:rPr>
        <w:br/>
        <w:t>Téléphone : 1-888-957-7224</w:t>
      </w:r>
      <w:r w:rsidRPr="008615BE">
        <w:rPr>
          <w:rFonts w:ascii="Arial" w:hAnsi="Arial" w:cs="Arial"/>
          <w:sz w:val="24"/>
          <w:szCs w:val="24"/>
          <w:lang w:val="fr-CA"/>
        </w:rPr>
        <w:br/>
        <w:t xml:space="preserve">Option 1 pour les transactions </w:t>
      </w:r>
      <w:r w:rsidR="00E272B3">
        <w:rPr>
          <w:rFonts w:ascii="Arial" w:hAnsi="Arial" w:cs="Arial"/>
          <w:sz w:val="24"/>
          <w:szCs w:val="24"/>
          <w:lang w:val="fr-CA"/>
        </w:rPr>
        <w:t xml:space="preserve">par </w:t>
      </w:r>
      <w:r w:rsidRPr="008615BE">
        <w:rPr>
          <w:rFonts w:ascii="Arial" w:hAnsi="Arial" w:cs="Arial"/>
          <w:sz w:val="24"/>
          <w:szCs w:val="24"/>
          <w:lang w:val="fr-CA"/>
        </w:rPr>
        <w:t xml:space="preserve">EDI / </w:t>
      </w:r>
      <w:r w:rsidRPr="008615BE">
        <w:rPr>
          <w:rFonts w:ascii="Arial" w:hAnsi="Arial" w:cs="Arial"/>
          <w:sz w:val="24"/>
          <w:szCs w:val="24"/>
          <w:lang w:val="fr-CA"/>
        </w:rPr>
        <w:br/>
        <w:t>Option 2 pour l’assistance technique relative au Portail (Canada ou États</w:t>
      </w:r>
      <w:r w:rsidRPr="008615BE">
        <w:rPr>
          <w:rFonts w:ascii="Arial" w:hAnsi="Arial" w:cs="Arial"/>
          <w:sz w:val="24"/>
          <w:szCs w:val="24"/>
          <w:lang w:val="fr-CA"/>
        </w:rPr>
        <w:noBreakHyphen/>
        <w:t xml:space="preserve">Unis) </w:t>
      </w:r>
      <w:r w:rsidRPr="008615BE">
        <w:rPr>
          <w:rFonts w:ascii="Arial" w:hAnsi="Arial" w:cs="Arial"/>
          <w:sz w:val="24"/>
          <w:szCs w:val="24"/>
          <w:lang w:val="fr-CA"/>
        </w:rPr>
        <w:br/>
        <w:t xml:space="preserve">1-613-946-0762 pour les appels de l’étranger </w:t>
      </w:r>
    </w:p>
    <w:p w14:paraId="77392A05" w14:textId="1250A767" w:rsidR="008E4427" w:rsidRPr="008E4427" w:rsidRDefault="008E4427" w:rsidP="008E4427">
      <w:pPr>
        <w:pStyle w:val="Heading3"/>
      </w:pPr>
      <w:bookmarkStart w:id="93" w:name="_Conservation_des_documents"/>
      <w:bookmarkEnd w:id="93"/>
      <w:r w:rsidRPr="008615BE">
        <w:t xml:space="preserve">Conservation des documents </w:t>
      </w:r>
      <w:r w:rsidR="00061AC0">
        <w:t>–</w:t>
      </w:r>
      <w:r w:rsidRPr="008615BE">
        <w:t xml:space="preserve"> dossiers ouverts et clos</w:t>
      </w:r>
    </w:p>
    <w:p w14:paraId="59F5DE96" w14:textId="0C627E63" w:rsidR="008E4427" w:rsidRDefault="008615BE" w:rsidP="008615BE">
      <w:pPr>
        <w:pStyle w:val="ListParagraph"/>
        <w:numPr>
          <w:ilvl w:val="0"/>
          <w:numId w:val="3"/>
        </w:numPr>
        <w:contextualSpacing w:val="0"/>
        <w:rPr>
          <w:rFonts w:cs="Arial"/>
          <w:szCs w:val="24"/>
        </w:rPr>
      </w:pPr>
      <w:r w:rsidRPr="008E4427">
        <w:rPr>
          <w:rFonts w:cs="Arial"/>
          <w:szCs w:val="24"/>
        </w:rPr>
        <w:t>En vertu de l’</w:t>
      </w:r>
      <w:r w:rsidR="005A1FF7">
        <w:rPr>
          <w:rFonts w:cs="Arial"/>
          <w:szCs w:val="24"/>
        </w:rPr>
        <w:t>alinéa</w:t>
      </w:r>
      <w:r w:rsidRPr="008E4427">
        <w:rPr>
          <w:rFonts w:cs="Arial"/>
          <w:szCs w:val="24"/>
        </w:rPr>
        <w:t> 3.1</w:t>
      </w:r>
      <w:r w:rsidR="007C1C5D">
        <w:rPr>
          <w:rFonts w:cs="Arial"/>
          <w:szCs w:val="24"/>
        </w:rPr>
        <w:t>(</w:t>
      </w:r>
      <w:r w:rsidRPr="008E4427">
        <w:rPr>
          <w:rFonts w:cs="Arial"/>
          <w:szCs w:val="24"/>
        </w:rPr>
        <w:t xml:space="preserve">a) du </w:t>
      </w:r>
      <w:hyperlink r:id="rId25" w:anchor="s-3.1" w:history="1">
        <w:r w:rsidRPr="00D82FCD">
          <w:rPr>
            <w:rStyle w:val="Hyperlink"/>
            <w:rFonts w:cs="Arial"/>
            <w:i/>
            <w:iCs/>
            <w:szCs w:val="24"/>
          </w:rPr>
          <w:t>Règlement sur les documents relatifs à l’importation de marchandises</w:t>
        </w:r>
      </w:hyperlink>
      <w:r w:rsidRPr="008E4427">
        <w:rPr>
          <w:rFonts w:cs="Arial"/>
          <w:szCs w:val="24"/>
        </w:rPr>
        <w:t>, l</w:t>
      </w:r>
      <w:r w:rsidR="00647C43">
        <w:rPr>
          <w:rFonts w:cs="Arial"/>
          <w:szCs w:val="24"/>
        </w:rPr>
        <w:t>’</w:t>
      </w:r>
      <w:r w:rsidRPr="008E4427">
        <w:rPr>
          <w:rFonts w:cs="Arial"/>
          <w:szCs w:val="24"/>
        </w:rPr>
        <w:t xml:space="preserve">exploitant </w:t>
      </w:r>
      <w:r w:rsidR="00E65AEE">
        <w:rPr>
          <w:rFonts w:cs="Arial"/>
          <w:szCs w:val="24"/>
        </w:rPr>
        <w:t>est</w:t>
      </w:r>
      <w:r w:rsidRPr="008E4427">
        <w:rPr>
          <w:rFonts w:cs="Arial"/>
          <w:szCs w:val="24"/>
        </w:rPr>
        <w:t xml:space="preserve"> tenu de conserver un dossier ouvert et un dossier clos sur toutes les marchandises importées qui sont livrées à l’entrepôt et qui en sont enlevées.</w:t>
      </w:r>
    </w:p>
    <w:p w14:paraId="5FE36649" w14:textId="64BFE8E3" w:rsidR="008E4427" w:rsidRDefault="008615BE" w:rsidP="008615BE">
      <w:pPr>
        <w:pStyle w:val="ListParagraph"/>
        <w:numPr>
          <w:ilvl w:val="0"/>
          <w:numId w:val="3"/>
        </w:numPr>
        <w:contextualSpacing w:val="0"/>
        <w:rPr>
          <w:rFonts w:cs="Arial"/>
          <w:szCs w:val="24"/>
        </w:rPr>
      </w:pPr>
      <w:r w:rsidRPr="008E4427">
        <w:rPr>
          <w:rFonts w:cs="Arial"/>
          <w:szCs w:val="24"/>
        </w:rPr>
        <w:t xml:space="preserve">Un document de l’ASFC servant de déclaration de mise en entrepôt, notamment l’exemplaire de l’exploitant du </w:t>
      </w:r>
      <w:hyperlink r:id="rId26" w:history="1">
        <w:r w:rsidRPr="008E4427">
          <w:rPr>
            <w:rStyle w:val="Hyperlink"/>
            <w:rFonts w:cs="Arial"/>
            <w:szCs w:val="24"/>
          </w:rPr>
          <w:t>formulaire A8A</w:t>
        </w:r>
        <w:r w:rsidR="0066075A">
          <w:rPr>
            <w:rStyle w:val="Hyperlink"/>
            <w:rFonts w:cs="Arial"/>
            <w:szCs w:val="24"/>
          </w:rPr>
          <w:t>,</w:t>
        </w:r>
        <w:r w:rsidRPr="008E4427">
          <w:rPr>
            <w:rStyle w:val="Hyperlink"/>
            <w:rFonts w:cs="Arial"/>
            <w:szCs w:val="24"/>
          </w:rPr>
          <w:t xml:space="preserve"> Document de contrôle du fret</w:t>
        </w:r>
      </w:hyperlink>
      <w:r w:rsidRPr="008E4427">
        <w:rPr>
          <w:rFonts w:cs="Arial"/>
          <w:szCs w:val="24"/>
        </w:rPr>
        <w:t xml:space="preserve"> ou l’équivalent</w:t>
      </w:r>
      <w:r w:rsidR="00221FC3">
        <w:rPr>
          <w:rFonts w:cs="Arial"/>
          <w:szCs w:val="24"/>
        </w:rPr>
        <w:t>,</w:t>
      </w:r>
      <w:r w:rsidRPr="008E4427">
        <w:rPr>
          <w:rFonts w:cs="Arial"/>
          <w:szCs w:val="24"/>
        </w:rPr>
        <w:t xml:space="preserve"> ou une version électronique ou une confirmation d</w:t>
      </w:r>
      <w:r w:rsidR="007A2586">
        <w:rPr>
          <w:rFonts w:cs="Arial"/>
          <w:szCs w:val="24"/>
        </w:rPr>
        <w:t>’un</w:t>
      </w:r>
      <w:r w:rsidRPr="008E4427">
        <w:rPr>
          <w:rFonts w:cs="Arial"/>
          <w:szCs w:val="24"/>
        </w:rPr>
        <w:t xml:space="preserve"> Message d’attestation d’arrivée </w:t>
      </w:r>
      <w:r w:rsidR="007A2586">
        <w:rPr>
          <w:rFonts w:cs="Arial"/>
          <w:szCs w:val="24"/>
        </w:rPr>
        <w:t>en</w:t>
      </w:r>
      <w:r w:rsidRPr="008E4427">
        <w:rPr>
          <w:rFonts w:cs="Arial"/>
          <w:szCs w:val="24"/>
        </w:rPr>
        <w:t xml:space="preserve"> entrepôt doit être conservé dans un dossier ouvert tant que l’exploitant n’a pas reçu de l’ASFC l’avis d’acquittement autorisant l’enlèvement des marchandises. </w:t>
      </w:r>
    </w:p>
    <w:p w14:paraId="08E36AE2" w14:textId="31563C56" w:rsidR="008E4427" w:rsidRDefault="009F1BB1" w:rsidP="008615BE">
      <w:pPr>
        <w:pStyle w:val="ListParagraph"/>
        <w:numPr>
          <w:ilvl w:val="0"/>
          <w:numId w:val="3"/>
        </w:numPr>
        <w:contextualSpacing w:val="0"/>
        <w:rPr>
          <w:rFonts w:cs="Arial"/>
          <w:szCs w:val="24"/>
        </w:rPr>
      </w:pPr>
      <w:r w:rsidRPr="009F1BB1">
        <w:rPr>
          <w:rFonts w:cs="Arial"/>
          <w:szCs w:val="24"/>
        </w:rPr>
        <w:t>À</w:t>
      </w:r>
      <w:r>
        <w:rPr>
          <w:rFonts w:cs="Arial"/>
          <w:szCs w:val="24"/>
        </w:rPr>
        <w:t xml:space="preserve"> réception d’</w:t>
      </w:r>
      <w:r w:rsidR="008615BE" w:rsidRPr="008E4427">
        <w:rPr>
          <w:rFonts w:cs="Arial"/>
          <w:szCs w:val="24"/>
        </w:rPr>
        <w:t>un des documents suivants</w:t>
      </w:r>
      <w:r>
        <w:rPr>
          <w:rFonts w:cs="Arial"/>
          <w:szCs w:val="24"/>
        </w:rPr>
        <w:t xml:space="preserve">, l’exploitant de l’entrepôt d’attente peut permettre la sortie de marchandise de </w:t>
      </w:r>
      <w:r w:rsidR="00543E50">
        <w:rPr>
          <w:rFonts w:cs="Arial"/>
          <w:szCs w:val="24"/>
        </w:rPr>
        <w:t>son</w:t>
      </w:r>
      <w:r>
        <w:rPr>
          <w:rFonts w:cs="Arial"/>
          <w:szCs w:val="24"/>
        </w:rPr>
        <w:t xml:space="preserve"> l’entrepôt</w:t>
      </w:r>
      <w:r w:rsidR="00A76D84">
        <w:rPr>
          <w:rFonts w:cs="Arial"/>
          <w:szCs w:val="24"/>
        </w:rPr>
        <w:t>*</w:t>
      </w:r>
      <w:r w:rsidR="008615BE" w:rsidRPr="008E4427">
        <w:rPr>
          <w:rFonts w:cs="Arial"/>
          <w:szCs w:val="24"/>
        </w:rPr>
        <w:t> :</w:t>
      </w:r>
    </w:p>
    <w:p w14:paraId="0D102DC6" w14:textId="77777777" w:rsidR="008E4427" w:rsidRDefault="008615BE" w:rsidP="008615BE">
      <w:pPr>
        <w:pStyle w:val="ListParagraph"/>
        <w:numPr>
          <w:ilvl w:val="1"/>
          <w:numId w:val="3"/>
        </w:numPr>
        <w:contextualSpacing w:val="0"/>
        <w:rPr>
          <w:rFonts w:cs="Arial"/>
          <w:szCs w:val="24"/>
        </w:rPr>
      </w:pPr>
      <w:r w:rsidRPr="008E4427">
        <w:rPr>
          <w:rFonts w:cs="Arial"/>
          <w:szCs w:val="24"/>
        </w:rPr>
        <w:t>un message du Système de transmission des avis de mainlevée (STAM) reçu directement du système à titre de participant au STAM ou reçu par l’intermédiaire d’un prestataire de services spécialisés;</w:t>
      </w:r>
    </w:p>
    <w:p w14:paraId="2B02B38B" w14:textId="6E8A4D02" w:rsidR="00A76D84" w:rsidRDefault="008615BE" w:rsidP="008615BE">
      <w:pPr>
        <w:pStyle w:val="ListParagraph"/>
        <w:numPr>
          <w:ilvl w:val="1"/>
          <w:numId w:val="3"/>
        </w:numPr>
        <w:contextualSpacing w:val="0"/>
        <w:rPr>
          <w:rFonts w:cs="Arial"/>
          <w:szCs w:val="24"/>
        </w:rPr>
      </w:pPr>
      <w:r w:rsidRPr="008E4427">
        <w:rPr>
          <w:rFonts w:cs="Arial"/>
          <w:szCs w:val="24"/>
        </w:rPr>
        <w:lastRenderedPageBreak/>
        <w:t xml:space="preserve">un message du Statut de notification de recherche (SNR) reçu directement du système de l’ASFC en tant que participant au </w:t>
      </w:r>
      <w:r w:rsidR="00EA3128">
        <w:rPr>
          <w:rFonts w:cs="Arial"/>
          <w:szCs w:val="24"/>
        </w:rPr>
        <w:t>STAM</w:t>
      </w:r>
      <w:r w:rsidRPr="008E4427">
        <w:rPr>
          <w:rFonts w:cs="Arial"/>
          <w:szCs w:val="24"/>
        </w:rPr>
        <w:t xml:space="preserve"> ou reçu par l’intermédiaire d’un prestataire de services spécialisés, qui indique que l’</w:t>
      </w:r>
      <w:r w:rsidR="008D2792">
        <w:rPr>
          <w:rFonts w:cs="Arial"/>
          <w:szCs w:val="24"/>
        </w:rPr>
        <w:t>ASFC a accordé la mainlevée de l’expédition</w:t>
      </w:r>
      <w:r w:rsidRPr="008E4427">
        <w:rPr>
          <w:rFonts w:cs="Arial"/>
          <w:szCs w:val="24"/>
        </w:rPr>
        <w:t xml:space="preserve">. Le statut de mainlevée </w:t>
      </w:r>
      <w:r w:rsidR="00791911">
        <w:rPr>
          <w:rFonts w:cs="Arial"/>
          <w:szCs w:val="24"/>
        </w:rPr>
        <w:t>dans</w:t>
      </w:r>
      <w:r w:rsidRPr="008E4427">
        <w:rPr>
          <w:rFonts w:cs="Arial"/>
          <w:szCs w:val="24"/>
        </w:rPr>
        <w:t xml:space="preserve"> un SNR peut comporter un code de sous</w:t>
      </w:r>
      <w:r w:rsidRPr="008E4427">
        <w:rPr>
          <w:rFonts w:cs="Arial"/>
          <w:szCs w:val="24"/>
        </w:rPr>
        <w:noBreakHyphen/>
        <w:t>emplacement différent du code de sous</w:t>
      </w:r>
      <w:r w:rsidRPr="008E4427">
        <w:rPr>
          <w:rFonts w:cs="Arial"/>
          <w:szCs w:val="24"/>
        </w:rPr>
        <w:noBreakHyphen/>
        <w:t>emplacement où se trouve réellement le fret;</w:t>
      </w:r>
    </w:p>
    <w:p w14:paraId="59964201" w14:textId="255C4E2E" w:rsidR="00A76D84" w:rsidRDefault="008615BE" w:rsidP="008615BE">
      <w:pPr>
        <w:pStyle w:val="ListParagraph"/>
        <w:numPr>
          <w:ilvl w:val="1"/>
          <w:numId w:val="3"/>
        </w:numPr>
        <w:contextualSpacing w:val="0"/>
        <w:rPr>
          <w:rFonts w:cs="Arial"/>
          <w:szCs w:val="24"/>
        </w:rPr>
      </w:pPr>
      <w:r w:rsidRPr="00A76D84">
        <w:rPr>
          <w:rFonts w:cs="Arial"/>
          <w:szCs w:val="24"/>
        </w:rPr>
        <w:t>un avis de dégroupement reçu directement du système de l’ASFC ou une copie d’un avis de dégroupement reçu d’un agent d’expédition ou d’un transporteur. Pour de plus amples renseignements, consulter le Mémorandum </w:t>
      </w:r>
      <w:hyperlink r:id="rId27" w:history="1">
        <w:r w:rsidRPr="00A76D84">
          <w:rPr>
            <w:rStyle w:val="Hyperlink"/>
            <w:rFonts w:cs="Arial"/>
            <w:szCs w:val="24"/>
          </w:rPr>
          <w:t>D3-1-1</w:t>
        </w:r>
        <w:r w:rsidR="00F12533">
          <w:rPr>
            <w:rStyle w:val="Hyperlink"/>
            <w:rFonts w:cs="Arial"/>
            <w:szCs w:val="24"/>
          </w:rPr>
          <w:t> :</w:t>
        </w:r>
        <w:r w:rsidRPr="00A76D84">
          <w:rPr>
            <w:rStyle w:val="Hyperlink"/>
            <w:rFonts w:cs="Arial"/>
            <w:szCs w:val="24"/>
          </w:rPr>
          <w:t xml:space="preserve"> Exigences relatives à la transmission des données préalable à l’arrivée et à la déclaration pour les agents d’expédition</w:t>
        </w:r>
      </w:hyperlink>
      <w:r w:rsidRPr="00A76D84">
        <w:rPr>
          <w:rFonts w:cs="Arial"/>
          <w:szCs w:val="24"/>
        </w:rPr>
        <w:t>;</w:t>
      </w:r>
    </w:p>
    <w:p w14:paraId="699B8440" w14:textId="4D27168F" w:rsidR="00A76D84" w:rsidRDefault="008615BE" w:rsidP="008615BE">
      <w:pPr>
        <w:pStyle w:val="ListParagraph"/>
        <w:numPr>
          <w:ilvl w:val="1"/>
          <w:numId w:val="3"/>
        </w:numPr>
        <w:contextualSpacing w:val="0"/>
        <w:rPr>
          <w:rFonts w:cs="Arial"/>
          <w:szCs w:val="24"/>
        </w:rPr>
      </w:pPr>
      <w:r w:rsidRPr="00A76D84">
        <w:rPr>
          <w:rFonts w:cs="Arial"/>
          <w:szCs w:val="24"/>
        </w:rPr>
        <w:t xml:space="preserve">un avis de </w:t>
      </w:r>
      <w:r w:rsidR="004C697E">
        <w:rPr>
          <w:rFonts w:cs="Arial"/>
          <w:szCs w:val="24"/>
        </w:rPr>
        <w:t>mainlevée</w:t>
      </w:r>
      <w:r w:rsidRPr="00A76D84">
        <w:rPr>
          <w:rFonts w:cs="Arial"/>
          <w:szCs w:val="24"/>
        </w:rPr>
        <w:t xml:space="preserve"> d</w:t>
      </w:r>
      <w:r w:rsidR="00EB2997">
        <w:rPr>
          <w:rFonts w:cs="Arial"/>
          <w:szCs w:val="24"/>
        </w:rPr>
        <w:t>e l</w:t>
      </w:r>
      <w:r w:rsidRPr="00A76D84">
        <w:rPr>
          <w:rFonts w:cs="Arial"/>
          <w:szCs w:val="24"/>
        </w:rPr>
        <w:t>’information préalable sur les expéditions commerciales (IPEC)</w:t>
      </w:r>
      <w:r w:rsidR="00C83647">
        <w:rPr>
          <w:rFonts w:cs="Arial"/>
          <w:szCs w:val="24"/>
        </w:rPr>
        <w:t xml:space="preserve"> </w:t>
      </w:r>
      <w:r w:rsidRPr="00A76D84">
        <w:rPr>
          <w:rFonts w:cs="Arial"/>
          <w:szCs w:val="24"/>
        </w:rPr>
        <w:t>/</w:t>
      </w:r>
      <w:r w:rsidR="00C83647">
        <w:rPr>
          <w:rFonts w:cs="Arial"/>
          <w:szCs w:val="24"/>
        </w:rPr>
        <w:t xml:space="preserve"> </w:t>
      </w:r>
      <w:r w:rsidR="00EB2997">
        <w:rPr>
          <w:rFonts w:cs="Arial"/>
          <w:szCs w:val="24"/>
        </w:rPr>
        <w:t>du</w:t>
      </w:r>
      <w:r w:rsidRPr="00A76D84">
        <w:rPr>
          <w:rFonts w:cs="Arial"/>
          <w:szCs w:val="24"/>
        </w:rPr>
        <w:t xml:space="preserve"> </w:t>
      </w:r>
      <w:r w:rsidR="00D34F12">
        <w:rPr>
          <w:rFonts w:cs="Arial"/>
          <w:szCs w:val="24"/>
        </w:rPr>
        <w:t>M</w:t>
      </w:r>
      <w:r w:rsidR="00D34F12" w:rsidRPr="00A76D84">
        <w:rPr>
          <w:rFonts w:cs="Arial"/>
          <w:szCs w:val="24"/>
        </w:rPr>
        <w:t xml:space="preserve">anifeste </w:t>
      </w:r>
      <w:r w:rsidRPr="00A76D84">
        <w:rPr>
          <w:rFonts w:cs="Arial"/>
          <w:szCs w:val="24"/>
        </w:rPr>
        <w:t xml:space="preserve">électronique ou un avis d’autorisation de livraison du PAD reçu directement du système de l’ASFC en tant que participant </w:t>
      </w:r>
      <w:r w:rsidR="00EE57CD">
        <w:rPr>
          <w:rFonts w:cs="Arial"/>
          <w:szCs w:val="24"/>
        </w:rPr>
        <w:t>visé par les mémorandums</w:t>
      </w:r>
      <w:r w:rsidR="00D51E5A">
        <w:rPr>
          <w:rFonts w:cs="Arial"/>
          <w:szCs w:val="24"/>
        </w:rPr>
        <w:t xml:space="preserve"> de la série </w:t>
      </w:r>
      <w:r w:rsidRPr="00A76D84">
        <w:rPr>
          <w:rFonts w:cs="Arial"/>
          <w:szCs w:val="24"/>
        </w:rPr>
        <w:t>D4 ou par l’intermédiaire d’un prestataire de services spécialisés;</w:t>
      </w:r>
    </w:p>
    <w:p w14:paraId="106EECFF" w14:textId="6F9952C0" w:rsidR="00A76D84" w:rsidRDefault="008615BE" w:rsidP="008615BE">
      <w:pPr>
        <w:pStyle w:val="ListParagraph"/>
        <w:numPr>
          <w:ilvl w:val="1"/>
          <w:numId w:val="3"/>
        </w:numPr>
        <w:contextualSpacing w:val="0"/>
        <w:rPr>
          <w:rFonts w:cs="Arial"/>
          <w:szCs w:val="24"/>
        </w:rPr>
      </w:pPr>
      <w:r w:rsidRPr="00A76D84">
        <w:rPr>
          <w:rFonts w:cs="Arial"/>
          <w:szCs w:val="24"/>
        </w:rPr>
        <w:t>l’original, la photocopie ou la copie numérisée du document de contrôle du fret, ou la feuille de renseignements sur la mainlevée, qui porte un estampille de mainlevée physique or électronique de l’ASFC.</w:t>
      </w:r>
    </w:p>
    <w:p w14:paraId="43F9042E" w14:textId="7D50C577" w:rsidR="00A76D84" w:rsidRPr="008615BE" w:rsidRDefault="00A76D84" w:rsidP="00A76D84">
      <w:pPr>
        <w:spacing w:line="345" w:lineRule="exact"/>
        <w:rPr>
          <w:rFonts w:ascii="Arial" w:hAnsi="Arial" w:cs="Arial"/>
          <w:sz w:val="24"/>
          <w:szCs w:val="24"/>
          <w:lang w:val="fr-CA"/>
        </w:rPr>
      </w:pPr>
      <w:r>
        <w:rPr>
          <w:rFonts w:ascii="Arial" w:hAnsi="Arial" w:cs="Arial"/>
          <w:sz w:val="24"/>
          <w:szCs w:val="24"/>
          <w:lang w:val="fr-CA"/>
        </w:rPr>
        <w:t xml:space="preserve">* </w:t>
      </w:r>
      <w:r w:rsidRPr="008615BE">
        <w:rPr>
          <w:rFonts w:ascii="Arial" w:hAnsi="Arial" w:cs="Arial"/>
          <w:sz w:val="24"/>
          <w:szCs w:val="24"/>
          <w:lang w:val="fr-CA"/>
        </w:rPr>
        <w:t>L</w:t>
      </w:r>
      <w:r w:rsidR="00B37A72">
        <w:rPr>
          <w:rFonts w:ascii="Arial" w:hAnsi="Arial" w:cs="Arial"/>
          <w:sz w:val="24"/>
          <w:szCs w:val="24"/>
          <w:lang w:val="fr-CA"/>
        </w:rPr>
        <w:t>’</w:t>
      </w:r>
      <w:r w:rsidRPr="008615BE">
        <w:rPr>
          <w:rFonts w:ascii="Arial" w:hAnsi="Arial" w:cs="Arial"/>
          <w:sz w:val="24"/>
          <w:szCs w:val="24"/>
          <w:lang w:val="fr-CA"/>
        </w:rPr>
        <w:t xml:space="preserve">exploitant d’entrepôt qui souhaite recevoir l’avis de dégroupement, l’avis de mainlevée ou un avis d’autorisation de livraison du PAD doit </w:t>
      </w:r>
      <w:r w:rsidR="00B37A72">
        <w:rPr>
          <w:rFonts w:ascii="Arial" w:hAnsi="Arial" w:cs="Arial"/>
          <w:sz w:val="24"/>
          <w:szCs w:val="24"/>
          <w:lang w:val="fr-CA"/>
        </w:rPr>
        <w:t xml:space="preserve">consulter </w:t>
      </w:r>
      <w:r w:rsidR="002A6FE5">
        <w:rPr>
          <w:rFonts w:ascii="Arial" w:hAnsi="Arial" w:cs="Arial"/>
          <w:sz w:val="24"/>
          <w:szCs w:val="24"/>
          <w:lang w:val="fr-CA"/>
        </w:rPr>
        <w:t>le</w:t>
      </w:r>
      <w:r w:rsidRPr="008615BE">
        <w:rPr>
          <w:rFonts w:ascii="Arial" w:hAnsi="Arial" w:cs="Arial"/>
          <w:sz w:val="24"/>
          <w:szCs w:val="24"/>
          <w:lang w:val="fr-CA"/>
        </w:rPr>
        <w:t xml:space="preserve"> </w:t>
      </w:r>
      <w:hyperlink r:id="rId28" w:history="1">
        <w:r w:rsidR="00641902">
          <w:rPr>
            <w:rStyle w:val="Hyperlink"/>
            <w:rFonts w:ascii="Arial" w:hAnsi="Arial" w:cs="Arial"/>
            <w:sz w:val="24"/>
            <w:szCs w:val="24"/>
            <w:lang w:val="fr-CA"/>
          </w:rPr>
          <w:t>D</w:t>
        </w:r>
        <w:r w:rsidRPr="008615BE">
          <w:rPr>
            <w:rStyle w:val="Hyperlink"/>
            <w:rFonts w:ascii="Arial" w:hAnsi="Arial" w:cs="Arial"/>
            <w:sz w:val="24"/>
            <w:szCs w:val="24"/>
            <w:lang w:val="fr-CA"/>
          </w:rPr>
          <w:t xml:space="preserve">ocument sur les exigences à l’égard des clients du commerce électronique, chapitre 11, Information préalable sur les expéditions commerciales (IPEC)/Manifeste électronique </w:t>
        </w:r>
        <w:r w:rsidR="00E57297">
          <w:rPr>
            <w:rStyle w:val="Hyperlink"/>
            <w:rFonts w:ascii="Arial" w:hAnsi="Arial" w:cs="Arial"/>
            <w:sz w:val="24"/>
            <w:szCs w:val="24"/>
            <w:lang w:val="fr-CA"/>
          </w:rPr>
          <w:t>-</w:t>
        </w:r>
        <w:r w:rsidRPr="008615BE">
          <w:rPr>
            <w:rStyle w:val="Hyperlink"/>
            <w:rFonts w:ascii="Arial" w:hAnsi="Arial" w:cs="Arial"/>
            <w:sz w:val="24"/>
            <w:szCs w:val="24"/>
            <w:lang w:val="fr-CA"/>
          </w:rPr>
          <w:t xml:space="preserve"> Avis</w:t>
        </w:r>
      </w:hyperlink>
      <w:r w:rsidRPr="008615BE">
        <w:rPr>
          <w:rFonts w:ascii="Arial" w:hAnsi="Arial" w:cs="Arial"/>
          <w:sz w:val="24"/>
          <w:szCs w:val="24"/>
          <w:lang w:val="fr-CA"/>
        </w:rPr>
        <w:t xml:space="preserve"> pour de plus amples renseignements. L’ASFC encourage fortement les exploitants d’entrepôt à s’inscrire pour recevoir ces avis.</w:t>
      </w:r>
    </w:p>
    <w:p w14:paraId="432234DF" w14:textId="542BB732" w:rsidR="00A76D84" w:rsidRPr="008615BE" w:rsidRDefault="00A76D84" w:rsidP="00A76D84">
      <w:pPr>
        <w:spacing w:line="345" w:lineRule="exact"/>
        <w:rPr>
          <w:rFonts w:ascii="Arial" w:hAnsi="Arial" w:cs="Arial"/>
          <w:sz w:val="24"/>
          <w:szCs w:val="24"/>
          <w:lang w:val="fr-CA"/>
        </w:rPr>
      </w:pPr>
      <w:r w:rsidRPr="008615BE">
        <w:rPr>
          <w:rFonts w:ascii="Arial" w:hAnsi="Arial" w:cs="Arial"/>
          <w:sz w:val="24"/>
          <w:szCs w:val="24"/>
          <w:lang w:val="fr-CA"/>
        </w:rPr>
        <w:t xml:space="preserve">Un avis de dégroupement est un avis électronique envoyé par l’ASFC qui informe les clients (agents d’expédition, exploitants d’entrepôt d’attente et transporteurs) qu’elle a autorisé le transfert du contrôle du fret d’une expédition groupée aux connaissements internes secondaires connexes qui ont été soumis par un agent d’expédition. Pour plus </w:t>
      </w:r>
      <w:r w:rsidR="004D3886">
        <w:rPr>
          <w:rFonts w:ascii="Arial" w:hAnsi="Arial" w:cs="Arial"/>
          <w:sz w:val="24"/>
          <w:szCs w:val="24"/>
          <w:lang w:val="fr-CA"/>
        </w:rPr>
        <w:t>de renseignements</w:t>
      </w:r>
      <w:r w:rsidRPr="008615BE">
        <w:rPr>
          <w:rFonts w:ascii="Arial" w:hAnsi="Arial" w:cs="Arial"/>
          <w:sz w:val="24"/>
          <w:szCs w:val="24"/>
          <w:lang w:val="fr-CA"/>
        </w:rPr>
        <w:t xml:space="preserve"> sur l’avis de dégroupement, voir le </w:t>
      </w:r>
      <w:r w:rsidR="0044266F">
        <w:rPr>
          <w:rFonts w:ascii="Arial" w:hAnsi="Arial" w:cs="Arial"/>
          <w:sz w:val="24"/>
          <w:szCs w:val="24"/>
          <w:lang w:val="fr-CA"/>
        </w:rPr>
        <w:t>Mémorandum</w:t>
      </w:r>
      <w:r w:rsidR="00FA4C36">
        <w:rPr>
          <w:rFonts w:ascii="Arial" w:hAnsi="Arial" w:cs="Arial"/>
          <w:sz w:val="24"/>
          <w:szCs w:val="24"/>
          <w:lang w:val="fr-CA"/>
        </w:rPr>
        <w:t> </w:t>
      </w:r>
      <w:r w:rsidRPr="008615BE">
        <w:rPr>
          <w:rFonts w:ascii="Arial" w:hAnsi="Arial" w:cs="Arial"/>
          <w:sz w:val="24"/>
          <w:szCs w:val="24"/>
          <w:lang w:val="fr-CA"/>
        </w:rPr>
        <w:t>D3</w:t>
      </w:r>
      <w:r w:rsidR="00FA4C36">
        <w:rPr>
          <w:rFonts w:ascii="Arial" w:hAnsi="Arial" w:cs="Arial"/>
          <w:sz w:val="24"/>
          <w:szCs w:val="24"/>
          <w:lang w:val="fr-CA"/>
        </w:rPr>
        <w:t>­</w:t>
      </w:r>
      <w:r w:rsidRPr="008615BE">
        <w:rPr>
          <w:rFonts w:ascii="Arial" w:hAnsi="Arial" w:cs="Arial"/>
          <w:sz w:val="24"/>
          <w:szCs w:val="24"/>
          <w:lang w:val="fr-CA"/>
        </w:rPr>
        <w:t>3</w:t>
      </w:r>
      <w:r w:rsidR="00FA4C36">
        <w:rPr>
          <w:rFonts w:ascii="Arial" w:hAnsi="Arial" w:cs="Arial"/>
          <w:sz w:val="24"/>
          <w:szCs w:val="24"/>
          <w:lang w:val="fr-CA"/>
        </w:rPr>
        <w:t>­</w:t>
      </w:r>
      <w:r w:rsidRPr="008615BE">
        <w:rPr>
          <w:rFonts w:ascii="Arial" w:hAnsi="Arial" w:cs="Arial"/>
          <w:sz w:val="24"/>
          <w:szCs w:val="24"/>
          <w:lang w:val="fr-CA"/>
        </w:rPr>
        <w:t>1</w:t>
      </w:r>
      <w:r w:rsidR="00F12533">
        <w:rPr>
          <w:rFonts w:ascii="Arial" w:hAnsi="Arial" w:cs="Arial"/>
          <w:sz w:val="24"/>
          <w:szCs w:val="24"/>
          <w:lang w:val="fr-CA"/>
        </w:rPr>
        <w:t> :</w:t>
      </w:r>
      <w:r w:rsidRPr="008615BE">
        <w:rPr>
          <w:rFonts w:ascii="Arial" w:hAnsi="Arial" w:cs="Arial"/>
          <w:sz w:val="24"/>
          <w:szCs w:val="24"/>
          <w:lang w:val="fr-CA"/>
        </w:rPr>
        <w:t xml:space="preserve"> </w:t>
      </w:r>
      <w:r w:rsidRPr="008615BE">
        <w:rPr>
          <w:rFonts w:ascii="Arial" w:hAnsi="Arial" w:cs="Arial"/>
          <w:sz w:val="24"/>
          <w:szCs w:val="24"/>
          <w:lang w:val="fr-CA"/>
        </w:rPr>
        <w:lastRenderedPageBreak/>
        <w:t xml:space="preserve">Exigences relatives à la transmission des données préalables à l’arrivée et à la déclaration pour les agents d’expédition. </w:t>
      </w:r>
    </w:p>
    <w:p w14:paraId="125338E3" w14:textId="5D41CFC6" w:rsidR="00A76D84" w:rsidRPr="008615BE" w:rsidRDefault="00A76D84" w:rsidP="00A76D84">
      <w:pPr>
        <w:spacing w:line="345" w:lineRule="exact"/>
        <w:rPr>
          <w:rFonts w:ascii="Arial" w:hAnsi="Arial" w:cs="Arial"/>
          <w:sz w:val="24"/>
          <w:szCs w:val="24"/>
          <w:lang w:val="fr-CA"/>
        </w:rPr>
      </w:pPr>
      <w:r w:rsidRPr="008615BE">
        <w:rPr>
          <w:rFonts w:ascii="Arial" w:hAnsi="Arial" w:cs="Arial"/>
          <w:sz w:val="24"/>
          <w:szCs w:val="24"/>
          <w:lang w:val="fr-CA"/>
        </w:rPr>
        <w:t xml:space="preserve">Lorsque des connaissements internes transférés pour des expéditions </w:t>
      </w:r>
      <w:r w:rsidR="00C24957">
        <w:rPr>
          <w:rFonts w:ascii="Arial" w:hAnsi="Arial" w:cs="Arial"/>
          <w:sz w:val="24"/>
          <w:szCs w:val="24"/>
          <w:lang w:val="fr-CA"/>
        </w:rPr>
        <w:t>consécutives</w:t>
      </w:r>
      <w:r w:rsidRPr="008615BE">
        <w:rPr>
          <w:rFonts w:ascii="Arial" w:hAnsi="Arial" w:cs="Arial"/>
          <w:sz w:val="24"/>
          <w:szCs w:val="24"/>
          <w:lang w:val="fr-CA"/>
        </w:rPr>
        <w:t xml:space="preserve"> ou des groupements par acheteur sont adressés à un entrepôt d’attente qui ne dégroupe pas, l’avis de dégroupement est suspendu jusqu’à ce que l’ASFC ait accordé l</w:t>
      </w:r>
      <w:r w:rsidR="004C4086">
        <w:rPr>
          <w:rFonts w:ascii="Arial" w:hAnsi="Arial" w:cs="Arial"/>
          <w:sz w:val="24"/>
          <w:szCs w:val="24"/>
          <w:lang w:val="fr-CA"/>
        </w:rPr>
        <w:t>a mainlevée</w:t>
      </w:r>
      <w:r w:rsidRPr="008615BE">
        <w:rPr>
          <w:rFonts w:ascii="Arial" w:hAnsi="Arial" w:cs="Arial"/>
          <w:sz w:val="24"/>
          <w:szCs w:val="24"/>
          <w:lang w:val="fr-CA"/>
        </w:rPr>
        <w:t xml:space="preserve"> pour tous les connaissements internes de l’expédition groupée.</w:t>
      </w:r>
    </w:p>
    <w:p w14:paraId="699CC3D8" w14:textId="0D63806B" w:rsidR="00A76D84" w:rsidRPr="00A76D84" w:rsidRDefault="00A76D84" w:rsidP="00A76D84">
      <w:pPr>
        <w:spacing w:line="345" w:lineRule="exact"/>
        <w:rPr>
          <w:rFonts w:ascii="Arial" w:hAnsi="Arial" w:cs="Arial"/>
          <w:sz w:val="24"/>
          <w:szCs w:val="24"/>
          <w:lang w:val="fr-CA"/>
        </w:rPr>
      </w:pPr>
      <w:r w:rsidRPr="008615BE">
        <w:rPr>
          <w:rFonts w:ascii="Arial" w:hAnsi="Arial" w:cs="Arial"/>
          <w:sz w:val="24"/>
          <w:szCs w:val="24"/>
          <w:lang w:val="fr-CA"/>
        </w:rPr>
        <w:t>Les avis de dégroupement sont un outil important, par lequel l</w:t>
      </w:r>
      <w:r w:rsidR="004C4086">
        <w:rPr>
          <w:rFonts w:ascii="Arial" w:hAnsi="Arial" w:cs="Arial"/>
          <w:sz w:val="24"/>
          <w:szCs w:val="24"/>
          <w:lang w:val="fr-CA"/>
        </w:rPr>
        <w:t>’</w:t>
      </w:r>
      <w:r w:rsidRPr="008615BE">
        <w:rPr>
          <w:rFonts w:ascii="Arial" w:hAnsi="Arial" w:cs="Arial"/>
          <w:sz w:val="24"/>
          <w:szCs w:val="24"/>
          <w:lang w:val="fr-CA"/>
        </w:rPr>
        <w:t xml:space="preserve">exploitant peut connaître le statut des expéditions groupées qu’il </w:t>
      </w:r>
      <w:r w:rsidR="004C4086">
        <w:rPr>
          <w:rFonts w:ascii="Arial" w:hAnsi="Arial" w:cs="Arial"/>
          <w:sz w:val="24"/>
          <w:szCs w:val="24"/>
          <w:lang w:val="fr-CA"/>
        </w:rPr>
        <w:t>a</w:t>
      </w:r>
      <w:r w:rsidRPr="008615BE">
        <w:rPr>
          <w:rFonts w:ascii="Arial" w:hAnsi="Arial" w:cs="Arial"/>
          <w:sz w:val="24"/>
          <w:szCs w:val="24"/>
          <w:lang w:val="fr-CA"/>
        </w:rPr>
        <w:t xml:space="preserve"> en entrepôt. Les exploitants, agents d’expédition et transporteurs doivent </w:t>
      </w:r>
      <w:r w:rsidR="005B1686">
        <w:rPr>
          <w:rFonts w:ascii="Arial" w:hAnsi="Arial" w:cs="Arial"/>
          <w:sz w:val="24"/>
          <w:szCs w:val="24"/>
          <w:lang w:val="fr-CA"/>
        </w:rPr>
        <w:t>s’enregistrer pour recevoir les avis de dégroupement en contactant</w:t>
      </w:r>
      <w:r w:rsidRPr="008615BE">
        <w:rPr>
          <w:rFonts w:ascii="Arial" w:hAnsi="Arial" w:cs="Arial"/>
          <w:sz w:val="24"/>
          <w:szCs w:val="24"/>
          <w:lang w:val="fr-CA"/>
        </w:rPr>
        <w:t xml:space="preserve"> </w:t>
      </w:r>
      <w:r w:rsidR="00041A0D">
        <w:rPr>
          <w:rFonts w:ascii="Arial" w:hAnsi="Arial" w:cs="Arial"/>
          <w:sz w:val="24"/>
          <w:szCs w:val="24"/>
          <w:lang w:val="fr-CA"/>
        </w:rPr>
        <w:t>l’</w:t>
      </w:r>
      <w:hyperlink r:id="rId29" w:history="1">
        <w:r w:rsidR="00617396" w:rsidRPr="00617396">
          <w:rPr>
            <w:rStyle w:val="Hyperlink"/>
            <w:rFonts w:ascii="Arial" w:hAnsi="Arial" w:cs="Arial"/>
            <w:sz w:val="24"/>
            <w:szCs w:val="24"/>
            <w:lang w:val="fr-CA"/>
          </w:rPr>
          <w:t>Unité des services techniques aux clients commerciaux</w:t>
        </w:r>
      </w:hyperlink>
      <w:r w:rsidRPr="008615BE">
        <w:rPr>
          <w:rFonts w:ascii="Arial" w:hAnsi="Arial" w:cs="Arial"/>
          <w:sz w:val="24"/>
          <w:szCs w:val="24"/>
          <w:lang w:val="fr-CA"/>
        </w:rPr>
        <w:t>.</w:t>
      </w:r>
    </w:p>
    <w:p w14:paraId="2CE26191" w14:textId="594F625B" w:rsidR="00A76D84" w:rsidRDefault="008615BE" w:rsidP="008615BE">
      <w:pPr>
        <w:pStyle w:val="ListParagraph"/>
        <w:numPr>
          <w:ilvl w:val="0"/>
          <w:numId w:val="3"/>
        </w:numPr>
        <w:contextualSpacing w:val="0"/>
        <w:rPr>
          <w:rFonts w:cs="Arial"/>
          <w:szCs w:val="24"/>
        </w:rPr>
      </w:pPr>
      <w:r w:rsidRPr="00A76D84">
        <w:rPr>
          <w:rFonts w:cs="Arial"/>
          <w:szCs w:val="24"/>
        </w:rPr>
        <w:t xml:space="preserve">Les préposés </w:t>
      </w:r>
      <w:r w:rsidR="00620C07">
        <w:rPr>
          <w:rFonts w:cs="Arial"/>
          <w:szCs w:val="24"/>
        </w:rPr>
        <w:t>au</w:t>
      </w:r>
      <w:r w:rsidR="00293D44">
        <w:rPr>
          <w:rFonts w:cs="Arial"/>
          <w:szCs w:val="24"/>
        </w:rPr>
        <w:t>x</w:t>
      </w:r>
      <w:r w:rsidRPr="00A76D84">
        <w:rPr>
          <w:rFonts w:cs="Arial"/>
          <w:szCs w:val="24"/>
        </w:rPr>
        <w:t xml:space="preserve"> </w:t>
      </w:r>
      <w:hyperlink r:id="rId30" w:history="1">
        <w:r w:rsidRPr="00A76D84">
          <w:rPr>
            <w:rStyle w:val="Hyperlink"/>
            <w:rFonts w:cs="Arial"/>
            <w:szCs w:val="24"/>
          </w:rPr>
          <w:t>formulaires A10</w:t>
        </w:r>
        <w:r w:rsidR="00154FBD">
          <w:rPr>
            <w:rStyle w:val="Hyperlink"/>
            <w:rFonts w:cs="Arial"/>
            <w:szCs w:val="24"/>
          </w:rPr>
          <w:t xml:space="preserve"> </w:t>
        </w:r>
        <w:r w:rsidR="00E57297">
          <w:rPr>
            <w:rStyle w:val="Hyperlink"/>
            <w:rFonts w:cs="Arial"/>
            <w:szCs w:val="24"/>
          </w:rPr>
          <w:t>-</w:t>
        </w:r>
        <w:r w:rsidRPr="00A76D84">
          <w:rPr>
            <w:rStyle w:val="Hyperlink"/>
            <w:rFonts w:cs="Arial"/>
            <w:szCs w:val="24"/>
          </w:rPr>
          <w:t xml:space="preserve"> Résumé d</w:t>
        </w:r>
        <w:r w:rsidR="00960DF4">
          <w:rPr>
            <w:rStyle w:val="Hyperlink"/>
            <w:rFonts w:cs="Arial"/>
            <w:szCs w:val="24"/>
          </w:rPr>
          <w:t>e</w:t>
        </w:r>
        <w:r w:rsidRPr="00A76D84">
          <w:rPr>
            <w:rStyle w:val="Hyperlink"/>
            <w:rFonts w:cs="Arial"/>
            <w:szCs w:val="24"/>
          </w:rPr>
          <w:t xml:space="preserve"> contrôle du fret</w:t>
        </w:r>
      </w:hyperlink>
      <w:r w:rsidRPr="00A76D84">
        <w:rPr>
          <w:rFonts w:cs="Arial"/>
          <w:szCs w:val="24"/>
        </w:rPr>
        <w:t xml:space="preserve"> ou </w:t>
      </w:r>
      <w:r w:rsidR="006E78B1">
        <w:rPr>
          <w:rFonts w:cs="Arial"/>
          <w:szCs w:val="24"/>
        </w:rPr>
        <w:t>aux</w:t>
      </w:r>
      <w:r w:rsidRPr="00A76D84">
        <w:rPr>
          <w:rFonts w:cs="Arial"/>
          <w:szCs w:val="24"/>
        </w:rPr>
        <w:t xml:space="preserve"> connaissements internes remettent à l’exploitant des copies de ces documents qu’il conservera dans le dossier ouvert tant que l’ASFC n’aura pas autorisé l’enlèvement des marchandises. </w:t>
      </w:r>
    </w:p>
    <w:p w14:paraId="57C20762" w14:textId="16DDA423" w:rsidR="00A76D84" w:rsidRDefault="008615BE" w:rsidP="008615BE">
      <w:pPr>
        <w:pStyle w:val="ListParagraph"/>
        <w:numPr>
          <w:ilvl w:val="0"/>
          <w:numId w:val="3"/>
        </w:numPr>
        <w:contextualSpacing w:val="0"/>
        <w:rPr>
          <w:rFonts w:cs="Arial"/>
          <w:szCs w:val="24"/>
        </w:rPr>
      </w:pPr>
      <w:r w:rsidRPr="00A76D84">
        <w:rPr>
          <w:rFonts w:cs="Arial"/>
          <w:szCs w:val="24"/>
        </w:rPr>
        <w:t>Lorsque le document de contrôle du fret principal doit être acquitté par les connaissements internes de l’agent d’expédition, c’est</w:t>
      </w:r>
      <w:r w:rsidRPr="00A76D84">
        <w:rPr>
          <w:rFonts w:cs="Arial"/>
          <w:szCs w:val="24"/>
        </w:rPr>
        <w:noBreakHyphen/>
        <w:t>à</w:t>
      </w:r>
      <w:r w:rsidRPr="00A76D84">
        <w:rPr>
          <w:rFonts w:cs="Arial"/>
          <w:szCs w:val="24"/>
        </w:rPr>
        <w:noBreakHyphen/>
        <w:t>dire des notifications de la série 8000, ou par les formulaires A10, l’exemplaire acquitté du document, annoté pour y indiquer le nombre des connaissements internes ou des résumés établis pour l’expédition, est retourné à l’exploitant de l’entrepôt. Le document de contrôle du fret principal doit être conservé dans le dossier ouvert jusqu’à ce que des exemplaires de tous les connaissements internes de la série 8000 ou de tous les formulaires A10 aient été reçus. Tous ces documents sont ensuite versés au dossier clos. L</w:t>
      </w:r>
      <w:r w:rsidR="0081591B">
        <w:rPr>
          <w:rFonts w:cs="Arial"/>
          <w:szCs w:val="24"/>
        </w:rPr>
        <w:t>’</w:t>
      </w:r>
      <w:r w:rsidRPr="00A76D84">
        <w:rPr>
          <w:rFonts w:cs="Arial"/>
          <w:szCs w:val="24"/>
        </w:rPr>
        <w:t xml:space="preserve">exploitant peut accepter un imprimé d’un connaissement interne électronique pour </w:t>
      </w:r>
      <w:r w:rsidR="0081591B">
        <w:rPr>
          <w:rFonts w:cs="Arial"/>
          <w:szCs w:val="24"/>
        </w:rPr>
        <w:t>son</w:t>
      </w:r>
      <w:r w:rsidRPr="00A76D84">
        <w:rPr>
          <w:rFonts w:cs="Arial"/>
          <w:szCs w:val="24"/>
        </w:rPr>
        <w:t xml:space="preserve"> dossier. De plus amples renseignements sur les formulaires en question figurent dans le </w:t>
      </w:r>
      <w:hyperlink r:id="rId31" w:history="1">
        <w:r w:rsidRPr="00A76D84">
          <w:rPr>
            <w:rStyle w:val="Hyperlink"/>
            <w:rFonts w:cs="Arial"/>
            <w:szCs w:val="24"/>
          </w:rPr>
          <w:t>Mémorandum D3-1-1</w:t>
        </w:r>
        <w:r w:rsidR="00F12533">
          <w:rPr>
            <w:rStyle w:val="Hyperlink"/>
            <w:rFonts w:cs="Arial"/>
            <w:szCs w:val="24"/>
          </w:rPr>
          <w:t> :</w:t>
        </w:r>
        <w:r w:rsidRPr="00A76D84">
          <w:rPr>
            <w:rStyle w:val="Hyperlink"/>
            <w:rFonts w:cs="Arial"/>
            <w:szCs w:val="24"/>
          </w:rPr>
          <w:t xml:space="preserve"> Politique relative à l’importation et au transport des marchandises</w:t>
        </w:r>
      </w:hyperlink>
      <w:r w:rsidRPr="00A76D84">
        <w:rPr>
          <w:rFonts w:cs="Arial"/>
          <w:szCs w:val="24"/>
        </w:rPr>
        <w:t>.</w:t>
      </w:r>
    </w:p>
    <w:p w14:paraId="394422E8" w14:textId="2149EA21" w:rsidR="00A76D84" w:rsidRDefault="008615BE" w:rsidP="008615BE">
      <w:pPr>
        <w:pStyle w:val="ListParagraph"/>
        <w:numPr>
          <w:ilvl w:val="0"/>
          <w:numId w:val="3"/>
        </w:numPr>
        <w:contextualSpacing w:val="0"/>
        <w:rPr>
          <w:rFonts w:cs="Arial"/>
          <w:szCs w:val="24"/>
        </w:rPr>
      </w:pPr>
      <w:r w:rsidRPr="00A76D84">
        <w:rPr>
          <w:rFonts w:cs="Arial"/>
          <w:szCs w:val="24"/>
        </w:rPr>
        <w:t xml:space="preserve">Les avis de mainlevée pour certains types d’expéditions, comme les envois en nombre, continueront de se faire sur papier étant donné qu’ils ne sont pas traités au moyen du Système de soutien de la mainlevée accélérée des expéditions commerciales (SSMAEC) et qu’aucun message du STAM n’est créé. Les autres exceptions </w:t>
      </w:r>
      <w:r w:rsidR="00430732">
        <w:rPr>
          <w:rFonts w:cs="Arial"/>
          <w:szCs w:val="24"/>
        </w:rPr>
        <w:t>comprennent</w:t>
      </w:r>
      <w:r w:rsidRPr="00A76D84">
        <w:rPr>
          <w:rFonts w:cs="Arial"/>
          <w:szCs w:val="24"/>
        </w:rPr>
        <w:t xml:space="preserve"> les entrepôts d’attente qui se trouvent dans un bureau non doté d’un terminal (c.</w:t>
      </w:r>
      <w:r w:rsidRPr="00A76D84">
        <w:rPr>
          <w:rFonts w:cs="Arial"/>
          <w:szCs w:val="24"/>
        </w:rPr>
        <w:noBreakHyphen/>
        <w:t>à</w:t>
      </w:r>
      <w:r w:rsidRPr="00A76D84">
        <w:rPr>
          <w:rFonts w:cs="Arial"/>
          <w:szCs w:val="24"/>
        </w:rPr>
        <w:noBreakHyphen/>
        <w:t xml:space="preserve">d. pas automatisé pour la mainlevée au moyen du SSMAEC) </w:t>
      </w:r>
      <w:r w:rsidR="000A58DA">
        <w:rPr>
          <w:rFonts w:cs="Arial"/>
          <w:szCs w:val="24"/>
        </w:rPr>
        <w:t xml:space="preserve">à </w:t>
      </w:r>
      <w:r w:rsidR="000A58DA">
        <w:rPr>
          <w:rFonts w:cs="Arial"/>
          <w:szCs w:val="24"/>
        </w:rPr>
        <w:lastRenderedPageBreak/>
        <w:t>partir duquel il n’est pas possible d’envoyer</w:t>
      </w:r>
      <w:r w:rsidRPr="00A76D84">
        <w:rPr>
          <w:rFonts w:cs="Arial"/>
          <w:szCs w:val="24"/>
        </w:rPr>
        <w:t xml:space="preserve"> un message du STAM; et les entrepôts d’attente de catégorie SH qui sont réservés exclusivement à l’entreposage d’articles de ménage usagés et d’effets personnels.</w:t>
      </w:r>
    </w:p>
    <w:p w14:paraId="518310F2" w14:textId="6ED5970D" w:rsidR="00A76D84" w:rsidRDefault="008615BE" w:rsidP="008615BE">
      <w:pPr>
        <w:pStyle w:val="ListParagraph"/>
        <w:numPr>
          <w:ilvl w:val="0"/>
          <w:numId w:val="3"/>
        </w:numPr>
        <w:contextualSpacing w:val="0"/>
        <w:rPr>
          <w:rFonts w:cs="Arial"/>
          <w:szCs w:val="24"/>
        </w:rPr>
      </w:pPr>
      <w:r w:rsidRPr="00A76D84">
        <w:rPr>
          <w:rFonts w:cs="Arial"/>
          <w:szCs w:val="24"/>
        </w:rPr>
        <w:t>L’exploitant doit conserver les documents ou les données de mainlevée dans un dossier clos afin qu’ils puissent être consultés et faire l’objet d’une vérification. Il doit conserver tous les documents pendant six ans à compter de la date de l’enlèvement des marchandises. Les documents doivent être conservés à l’installation de l’entrepôt d’attente. L</w:t>
      </w:r>
      <w:r w:rsidR="003B1624">
        <w:rPr>
          <w:rFonts w:cs="Arial"/>
          <w:szCs w:val="24"/>
        </w:rPr>
        <w:t>’</w:t>
      </w:r>
      <w:r w:rsidRPr="00A76D84">
        <w:rPr>
          <w:rFonts w:cs="Arial"/>
          <w:szCs w:val="24"/>
        </w:rPr>
        <w:t xml:space="preserve">exploitant qui désire conserver </w:t>
      </w:r>
      <w:r w:rsidR="003B1624">
        <w:rPr>
          <w:rFonts w:cs="Arial"/>
          <w:szCs w:val="24"/>
        </w:rPr>
        <w:t>ses</w:t>
      </w:r>
      <w:r w:rsidRPr="00A76D84">
        <w:rPr>
          <w:rFonts w:cs="Arial"/>
          <w:szCs w:val="24"/>
        </w:rPr>
        <w:t xml:space="preserve"> documents dans un autre emplacement doit recevoir la permission du gestionnaire de district de l’ASFC. Les documents peuvent être numérisés si les conditions énoncées dans le </w:t>
      </w:r>
      <w:hyperlink r:id="rId32" w:history="1">
        <w:r w:rsidRPr="00A76D84">
          <w:rPr>
            <w:rStyle w:val="Hyperlink"/>
            <w:rFonts w:cs="Arial"/>
            <w:szCs w:val="24"/>
          </w:rPr>
          <w:t>Mémorandum D17-1-21</w:t>
        </w:r>
        <w:r w:rsidR="00F12533">
          <w:rPr>
            <w:rStyle w:val="Hyperlink"/>
            <w:rFonts w:cs="Arial"/>
            <w:szCs w:val="24"/>
          </w:rPr>
          <w:t> :</w:t>
        </w:r>
        <w:r w:rsidRPr="00A76D84">
          <w:rPr>
            <w:rStyle w:val="Hyperlink"/>
            <w:rFonts w:cs="Arial"/>
            <w:szCs w:val="24"/>
          </w:rPr>
          <w:t xml:space="preserve"> Conservation des documents au Canada par les importateurs</w:t>
        </w:r>
      </w:hyperlink>
      <w:r w:rsidRPr="00A76D84">
        <w:rPr>
          <w:rFonts w:cs="Arial"/>
          <w:szCs w:val="24"/>
        </w:rPr>
        <w:t xml:space="preserve"> sont respectées.</w:t>
      </w:r>
    </w:p>
    <w:p w14:paraId="04FABD50" w14:textId="1310C610" w:rsidR="00A76D84" w:rsidRDefault="008615BE" w:rsidP="008615BE">
      <w:pPr>
        <w:pStyle w:val="ListParagraph"/>
        <w:numPr>
          <w:ilvl w:val="0"/>
          <w:numId w:val="3"/>
        </w:numPr>
        <w:contextualSpacing w:val="0"/>
        <w:rPr>
          <w:rFonts w:cs="Arial"/>
          <w:szCs w:val="24"/>
        </w:rPr>
      </w:pPr>
      <w:r w:rsidRPr="00A76D84">
        <w:rPr>
          <w:rFonts w:cs="Arial"/>
          <w:szCs w:val="24"/>
        </w:rPr>
        <w:t xml:space="preserve">Aux fins de vérification, l’ASFC accepte les impressions par ordinateur s’il est possible d’y retrouver les renseignements concernant une expédition particulière au moyen du numéro de contrôle du fret. L’imprimé doit aussi </w:t>
      </w:r>
      <w:r w:rsidR="00C357B1">
        <w:rPr>
          <w:rFonts w:cs="Arial"/>
          <w:szCs w:val="24"/>
        </w:rPr>
        <w:t>contenir</w:t>
      </w:r>
      <w:r w:rsidRPr="00A76D84">
        <w:rPr>
          <w:rFonts w:cs="Arial"/>
          <w:szCs w:val="24"/>
        </w:rPr>
        <w:t xml:space="preserve"> les noms des destinataires et des précisions concernant la quantité et le poids des marchandises.</w:t>
      </w:r>
      <w:bookmarkStart w:id="94" w:name="_bookmark31"/>
      <w:bookmarkStart w:id="95" w:name="AlterationofGoods"/>
      <w:bookmarkEnd w:id="94"/>
      <w:bookmarkEnd w:id="95"/>
    </w:p>
    <w:p w14:paraId="288F3E90" w14:textId="223CC6E8" w:rsidR="00A76D84" w:rsidRPr="00A76D84" w:rsidRDefault="00A76D84" w:rsidP="00A76D84">
      <w:pPr>
        <w:pStyle w:val="Heading3"/>
      </w:pPr>
      <w:bookmarkStart w:id="96" w:name="_Modification_des_marchandises"/>
      <w:bookmarkEnd w:id="96"/>
      <w:r w:rsidRPr="008615BE">
        <w:t>Modification des marchandises</w:t>
      </w:r>
    </w:p>
    <w:p w14:paraId="7FBE8E12" w14:textId="058AFC81" w:rsidR="00A76D84" w:rsidRDefault="008615BE" w:rsidP="008615BE">
      <w:pPr>
        <w:pStyle w:val="ListParagraph"/>
        <w:numPr>
          <w:ilvl w:val="0"/>
          <w:numId w:val="3"/>
        </w:numPr>
        <w:contextualSpacing w:val="0"/>
        <w:rPr>
          <w:rFonts w:cs="Arial"/>
          <w:szCs w:val="24"/>
        </w:rPr>
      </w:pPr>
      <w:r w:rsidRPr="00A76D84">
        <w:rPr>
          <w:rFonts w:cs="Arial"/>
          <w:szCs w:val="24"/>
        </w:rPr>
        <w:t xml:space="preserve">Afin de faciliter l’enlèvement des marchandises d’un entrepôt d’attente </w:t>
      </w:r>
      <w:r w:rsidR="006E3396">
        <w:rPr>
          <w:rFonts w:cs="Arial"/>
          <w:szCs w:val="24"/>
        </w:rPr>
        <w:t>afin de les transporter</w:t>
      </w:r>
      <w:r w:rsidRPr="00A76D84">
        <w:rPr>
          <w:rFonts w:cs="Arial"/>
          <w:szCs w:val="24"/>
        </w:rPr>
        <w:t xml:space="preserve">, en vertu du </w:t>
      </w:r>
      <w:r w:rsidRPr="00880932">
        <w:rPr>
          <w:rFonts w:cs="Arial"/>
          <w:i/>
          <w:iCs/>
          <w:szCs w:val="24"/>
        </w:rPr>
        <w:t>Règlement</w:t>
      </w:r>
      <w:r w:rsidRPr="00A76D84">
        <w:rPr>
          <w:rFonts w:cs="Arial"/>
          <w:szCs w:val="24"/>
        </w:rPr>
        <w:t>, les marchandises peuvent, avec l’approbation du bureau local de l’ASFC, être manipulées, déballées, emballées, modifiées ou combinées avec d’autres marchandises pendant leur séjour dans un entrepôt d’attente aux seules fins suivantes :</w:t>
      </w:r>
    </w:p>
    <w:p w14:paraId="58EEE437" w14:textId="77777777" w:rsidR="00A76D84" w:rsidRDefault="008615BE" w:rsidP="008615BE">
      <w:pPr>
        <w:pStyle w:val="ListParagraph"/>
        <w:numPr>
          <w:ilvl w:val="1"/>
          <w:numId w:val="3"/>
        </w:numPr>
        <w:contextualSpacing w:val="0"/>
        <w:rPr>
          <w:rFonts w:cs="Arial"/>
          <w:szCs w:val="24"/>
        </w:rPr>
      </w:pPr>
      <w:r w:rsidRPr="00A76D84">
        <w:rPr>
          <w:rFonts w:cs="Arial"/>
          <w:szCs w:val="24"/>
        </w:rPr>
        <w:t xml:space="preserve">l’estampillage des marchandises, s’il s’agit de tabac en feuilles brut importé ou de produits du tabac importés qui sont placés dans l’entrepôt d’attente conformément à l’article 39 de la </w:t>
      </w:r>
      <w:hyperlink r:id="rId33" w:history="1">
        <w:r w:rsidRPr="00880932">
          <w:rPr>
            <w:rStyle w:val="Hyperlink"/>
            <w:rFonts w:cs="Arial"/>
            <w:i/>
            <w:iCs/>
            <w:szCs w:val="24"/>
          </w:rPr>
          <w:t>Loi de 2001 sur l’accise</w:t>
        </w:r>
      </w:hyperlink>
      <w:r w:rsidRPr="00A76D84">
        <w:rPr>
          <w:rFonts w:cs="Arial"/>
          <w:szCs w:val="24"/>
        </w:rPr>
        <w:t>;</w:t>
      </w:r>
    </w:p>
    <w:p w14:paraId="477FCFCA" w14:textId="77777777" w:rsidR="00A76D84" w:rsidRDefault="008615BE" w:rsidP="008615BE">
      <w:pPr>
        <w:pStyle w:val="ListParagraph"/>
        <w:numPr>
          <w:ilvl w:val="1"/>
          <w:numId w:val="3"/>
        </w:numPr>
        <w:contextualSpacing w:val="0"/>
        <w:rPr>
          <w:rFonts w:cs="Arial"/>
          <w:szCs w:val="24"/>
        </w:rPr>
      </w:pPr>
      <w:r w:rsidRPr="00A76D84">
        <w:rPr>
          <w:rFonts w:cs="Arial"/>
          <w:szCs w:val="24"/>
        </w:rPr>
        <w:t xml:space="preserve">le marquage des marchandises, s’il s’agit de produits de vapotage qui sont placés dans l’entrepôt d’attente conformément au paragraphe 158.51(1) de la </w:t>
      </w:r>
      <w:r w:rsidRPr="00880932">
        <w:rPr>
          <w:rFonts w:cs="Arial"/>
          <w:i/>
          <w:iCs/>
          <w:szCs w:val="24"/>
        </w:rPr>
        <w:t>Loi de 2001 sur l’accise</w:t>
      </w:r>
      <w:r w:rsidRPr="00A76D84">
        <w:rPr>
          <w:rFonts w:cs="Arial"/>
          <w:szCs w:val="24"/>
        </w:rPr>
        <w:t>;</w:t>
      </w:r>
    </w:p>
    <w:p w14:paraId="798E7B48" w14:textId="4005862E" w:rsidR="00A76D84" w:rsidRDefault="008615BE" w:rsidP="008615BE">
      <w:pPr>
        <w:pStyle w:val="ListParagraph"/>
        <w:numPr>
          <w:ilvl w:val="1"/>
          <w:numId w:val="3"/>
        </w:numPr>
        <w:contextualSpacing w:val="0"/>
        <w:rPr>
          <w:rFonts w:cs="Arial"/>
          <w:szCs w:val="24"/>
        </w:rPr>
      </w:pPr>
      <w:r w:rsidRPr="00A76D84">
        <w:rPr>
          <w:rFonts w:cs="Arial"/>
          <w:szCs w:val="24"/>
        </w:rPr>
        <w:t xml:space="preserve">le marquage des marchandises, s’il s’agit de contenants spéciaux de spiritueux ou de vin, importées par un exploitant d’entrepôt d’accise, qui </w:t>
      </w:r>
      <w:r w:rsidRPr="00A76D84">
        <w:rPr>
          <w:rFonts w:cs="Arial"/>
          <w:szCs w:val="24"/>
        </w:rPr>
        <w:lastRenderedPageBreak/>
        <w:t xml:space="preserve">sont placées dans l’entrepôt d’attente conformément à l’article 80 ou 85 de la </w:t>
      </w:r>
      <w:r w:rsidRPr="00880932">
        <w:rPr>
          <w:rFonts w:cs="Arial"/>
          <w:i/>
          <w:iCs/>
          <w:szCs w:val="24"/>
        </w:rPr>
        <w:t>Loi de 2001 sur l’accise</w:t>
      </w:r>
      <w:r w:rsidRPr="00A76D84">
        <w:rPr>
          <w:rFonts w:cs="Arial"/>
          <w:szCs w:val="24"/>
        </w:rPr>
        <w:t>;</w:t>
      </w:r>
    </w:p>
    <w:p w14:paraId="0A5ADC42" w14:textId="2EF957B9" w:rsidR="00A76D84" w:rsidRDefault="008615BE" w:rsidP="008615BE">
      <w:pPr>
        <w:pStyle w:val="ListParagraph"/>
        <w:numPr>
          <w:ilvl w:val="1"/>
          <w:numId w:val="3"/>
        </w:numPr>
        <w:contextualSpacing w:val="0"/>
        <w:rPr>
          <w:rFonts w:cs="Arial"/>
          <w:szCs w:val="24"/>
        </w:rPr>
      </w:pPr>
      <w:r w:rsidRPr="00A76D84">
        <w:rPr>
          <w:rFonts w:cs="Arial"/>
          <w:szCs w:val="24"/>
        </w:rPr>
        <w:t xml:space="preserve">le marquage de marchandises, s’il s’agit de marchandises visées par tout règlement pris en vertu de l’alinéa 19(1)a) du </w:t>
      </w:r>
      <w:hyperlink r:id="rId34" w:anchor="h-139408" w:history="1">
        <w:r w:rsidRPr="00880932">
          <w:rPr>
            <w:rStyle w:val="Hyperlink"/>
            <w:rFonts w:cs="Arial"/>
            <w:i/>
            <w:iCs/>
            <w:szCs w:val="24"/>
          </w:rPr>
          <w:t>Tarif des douanes</w:t>
        </w:r>
      </w:hyperlink>
      <w:r w:rsidRPr="00A76D84">
        <w:rPr>
          <w:rFonts w:cs="Arial"/>
          <w:szCs w:val="24"/>
        </w:rPr>
        <w:t>.</w:t>
      </w:r>
    </w:p>
    <w:p w14:paraId="1C5D138F" w14:textId="77777777" w:rsidR="00A76D84" w:rsidRDefault="008615BE" w:rsidP="008615BE">
      <w:pPr>
        <w:pStyle w:val="ListParagraph"/>
        <w:numPr>
          <w:ilvl w:val="0"/>
          <w:numId w:val="3"/>
        </w:numPr>
        <w:contextualSpacing w:val="0"/>
        <w:rPr>
          <w:rFonts w:cs="Arial"/>
          <w:szCs w:val="24"/>
        </w:rPr>
      </w:pPr>
      <w:r w:rsidRPr="00A76D84">
        <w:rPr>
          <w:rFonts w:cs="Arial"/>
          <w:szCs w:val="24"/>
        </w:rPr>
        <w:t>Chaque demande doit être approuvée par le bureau local de l’ASFC.</w:t>
      </w:r>
      <w:bookmarkStart w:id="97" w:name="_bookmark32"/>
      <w:bookmarkStart w:id="98" w:name="StorageofFirearms"/>
      <w:bookmarkEnd w:id="97"/>
      <w:bookmarkEnd w:id="98"/>
    </w:p>
    <w:p w14:paraId="31AC21F3" w14:textId="7F21D29C" w:rsidR="00A76D84" w:rsidRPr="00A76D84" w:rsidRDefault="00A76D84" w:rsidP="00A76D84">
      <w:pPr>
        <w:pStyle w:val="Heading3"/>
      </w:pPr>
      <w:bookmarkStart w:id="99" w:name="_Entreposage_d’armes_à"/>
      <w:bookmarkEnd w:id="99"/>
      <w:r w:rsidRPr="008615BE">
        <w:t>Entreposage d’armes à feu et d’autres armes</w:t>
      </w:r>
    </w:p>
    <w:p w14:paraId="110C15E1" w14:textId="16AE6C74" w:rsidR="00A76D84" w:rsidRDefault="008615BE" w:rsidP="008615BE">
      <w:pPr>
        <w:pStyle w:val="ListParagraph"/>
        <w:numPr>
          <w:ilvl w:val="0"/>
          <w:numId w:val="3"/>
        </w:numPr>
        <w:contextualSpacing w:val="0"/>
        <w:rPr>
          <w:rFonts w:cs="Arial"/>
          <w:szCs w:val="24"/>
        </w:rPr>
      </w:pPr>
      <w:r w:rsidRPr="00A76D84">
        <w:rPr>
          <w:rFonts w:cs="Arial"/>
          <w:szCs w:val="24"/>
        </w:rPr>
        <w:t xml:space="preserve">En vertu de la </w:t>
      </w:r>
      <w:hyperlink r:id="rId35" w:history="1">
        <w:r w:rsidRPr="00880932">
          <w:rPr>
            <w:rStyle w:val="Hyperlink"/>
            <w:rFonts w:cs="Arial"/>
            <w:i/>
            <w:iCs/>
            <w:szCs w:val="24"/>
          </w:rPr>
          <w:t>Loi sur les armes à feu</w:t>
        </w:r>
      </w:hyperlink>
      <w:r w:rsidRPr="00A76D84">
        <w:rPr>
          <w:rFonts w:cs="Arial"/>
          <w:szCs w:val="24"/>
        </w:rPr>
        <w:t>, l</w:t>
      </w:r>
      <w:r w:rsidR="00756B78">
        <w:rPr>
          <w:rFonts w:cs="Arial"/>
          <w:szCs w:val="24"/>
        </w:rPr>
        <w:t>’</w:t>
      </w:r>
      <w:r w:rsidRPr="00A76D84">
        <w:rPr>
          <w:rFonts w:cs="Arial"/>
          <w:szCs w:val="24"/>
        </w:rPr>
        <w:t xml:space="preserve">exploitant d’entrepôt d’attente doit détenir un permis </w:t>
      </w:r>
      <w:r w:rsidR="004E4EF3">
        <w:rPr>
          <w:rFonts w:cs="Arial"/>
          <w:szCs w:val="24"/>
        </w:rPr>
        <w:t>de</w:t>
      </w:r>
      <w:r w:rsidRPr="00A76D84">
        <w:rPr>
          <w:rFonts w:cs="Arial"/>
          <w:szCs w:val="24"/>
        </w:rPr>
        <w:t xml:space="preserve"> transporteur ou un permis d’arme à feu pour entreprise afin d’entreposer des armes à feu, des munitions prohibées, des dispositifs </w:t>
      </w:r>
      <w:r w:rsidR="00B62702">
        <w:rPr>
          <w:rFonts w:cs="Arial"/>
          <w:szCs w:val="24"/>
        </w:rPr>
        <w:t xml:space="preserve">prohibés </w:t>
      </w:r>
      <w:r w:rsidRPr="00A76D84">
        <w:rPr>
          <w:rFonts w:cs="Arial"/>
          <w:szCs w:val="24"/>
        </w:rPr>
        <w:t>ou des armes prohibé</w:t>
      </w:r>
      <w:r w:rsidR="00B62702">
        <w:rPr>
          <w:rFonts w:cs="Arial"/>
          <w:szCs w:val="24"/>
        </w:rPr>
        <w:t>e</w:t>
      </w:r>
      <w:r w:rsidRPr="00A76D84">
        <w:rPr>
          <w:rFonts w:cs="Arial"/>
          <w:szCs w:val="24"/>
        </w:rPr>
        <w:t xml:space="preserve">s. Le directeur de l’enregistrement des armes à feu est responsable de la délivrance des permis </w:t>
      </w:r>
      <w:r w:rsidR="00B62702">
        <w:rPr>
          <w:rFonts w:cs="Arial"/>
          <w:szCs w:val="24"/>
        </w:rPr>
        <w:t xml:space="preserve">de </w:t>
      </w:r>
      <w:r w:rsidRPr="00A76D84">
        <w:rPr>
          <w:rFonts w:cs="Arial"/>
          <w:szCs w:val="24"/>
        </w:rPr>
        <w:t xml:space="preserve">transporteur et le contrôleur des armes à feu de la province ou du territoire où l’entreprise est exploitée est responsable de la délivrance des permis d’arme à feu pour entreprise. </w:t>
      </w:r>
      <w:r w:rsidR="00C944FC">
        <w:rPr>
          <w:rFonts w:cs="Arial"/>
          <w:szCs w:val="24"/>
        </w:rPr>
        <w:t>Pour</w:t>
      </w:r>
      <w:r w:rsidRPr="00A76D84">
        <w:rPr>
          <w:rFonts w:cs="Arial"/>
          <w:szCs w:val="24"/>
        </w:rPr>
        <w:t xml:space="preserve"> de plus amples renseignements sur ces permis</w:t>
      </w:r>
      <w:r w:rsidR="00C944FC">
        <w:rPr>
          <w:rFonts w:cs="Arial"/>
          <w:szCs w:val="24"/>
        </w:rPr>
        <w:t>, consulter</w:t>
      </w:r>
      <w:r w:rsidRPr="00A76D84">
        <w:rPr>
          <w:rFonts w:cs="Arial"/>
          <w:szCs w:val="24"/>
        </w:rPr>
        <w:t xml:space="preserve"> le site </w:t>
      </w:r>
      <w:r w:rsidR="00C944FC">
        <w:rPr>
          <w:rFonts w:cs="Arial"/>
          <w:szCs w:val="24"/>
        </w:rPr>
        <w:t>W</w:t>
      </w:r>
      <w:r w:rsidRPr="00A76D84">
        <w:rPr>
          <w:rFonts w:cs="Arial"/>
          <w:szCs w:val="24"/>
        </w:rPr>
        <w:t xml:space="preserve">eb du </w:t>
      </w:r>
      <w:hyperlink r:id="rId36" w:history="1">
        <w:r w:rsidR="00237838">
          <w:rPr>
            <w:rStyle w:val="Hyperlink"/>
            <w:rFonts w:cs="Arial"/>
            <w:szCs w:val="24"/>
          </w:rPr>
          <w:t>Programme canadien des armes à feu</w:t>
        </w:r>
      </w:hyperlink>
      <w:r w:rsidRPr="00A76D84">
        <w:rPr>
          <w:rFonts w:cs="Arial"/>
          <w:szCs w:val="24"/>
        </w:rPr>
        <w:t xml:space="preserve"> de la Gendarmerie royale du Canada</w:t>
      </w:r>
      <w:r w:rsidR="00237838">
        <w:rPr>
          <w:rFonts w:cs="Arial"/>
          <w:szCs w:val="24"/>
        </w:rPr>
        <w:t>.</w:t>
      </w:r>
    </w:p>
    <w:p w14:paraId="1829CFF1" w14:textId="282F4A90" w:rsidR="00A76D84" w:rsidRDefault="008615BE" w:rsidP="008615BE">
      <w:pPr>
        <w:pStyle w:val="ListParagraph"/>
        <w:numPr>
          <w:ilvl w:val="0"/>
          <w:numId w:val="3"/>
        </w:numPr>
        <w:contextualSpacing w:val="0"/>
        <w:rPr>
          <w:rFonts w:cs="Arial"/>
          <w:szCs w:val="24"/>
        </w:rPr>
      </w:pPr>
      <w:r w:rsidRPr="00A76D84">
        <w:rPr>
          <w:rFonts w:cs="Arial"/>
          <w:szCs w:val="24"/>
        </w:rPr>
        <w:t>Les armes à feu, les munitions prohibées, les dispositifs</w:t>
      </w:r>
      <w:r w:rsidR="00CE4B37">
        <w:rPr>
          <w:rFonts w:cs="Arial"/>
          <w:szCs w:val="24"/>
        </w:rPr>
        <w:t xml:space="preserve"> prohibés</w:t>
      </w:r>
      <w:r w:rsidRPr="00A76D84">
        <w:rPr>
          <w:rFonts w:cs="Arial"/>
          <w:szCs w:val="24"/>
        </w:rPr>
        <w:t xml:space="preserve"> et les armes prohibé</w:t>
      </w:r>
      <w:r w:rsidR="00CE4B37">
        <w:rPr>
          <w:rFonts w:cs="Arial"/>
          <w:szCs w:val="24"/>
        </w:rPr>
        <w:t>e</w:t>
      </w:r>
      <w:r w:rsidRPr="00A76D84">
        <w:rPr>
          <w:rFonts w:cs="Arial"/>
          <w:szCs w:val="24"/>
        </w:rPr>
        <w:t xml:space="preserve">s doivent être entreposés conformément au </w:t>
      </w:r>
      <w:hyperlink r:id="rId37" w:history="1">
        <w:r w:rsidRPr="00880932">
          <w:rPr>
            <w:rStyle w:val="Hyperlink"/>
            <w:rFonts w:cs="Arial"/>
            <w:i/>
            <w:iCs/>
            <w:szCs w:val="24"/>
          </w:rPr>
          <w:t>Règlement sur l’entreposage, l’exposition et le transport d’armes à feu et autres armes par des entreprises</w:t>
        </w:r>
      </w:hyperlink>
      <w:r w:rsidRPr="00880932">
        <w:rPr>
          <w:rFonts w:cs="Arial"/>
          <w:i/>
          <w:iCs/>
          <w:szCs w:val="24"/>
        </w:rPr>
        <w:t>.</w:t>
      </w:r>
      <w:r w:rsidRPr="00A76D84">
        <w:rPr>
          <w:rFonts w:cs="Arial"/>
          <w:szCs w:val="24"/>
        </w:rPr>
        <w:t xml:space="preserve"> Les exigences de ce </w:t>
      </w:r>
      <w:r w:rsidR="00175FF3">
        <w:rPr>
          <w:rFonts w:cs="Arial"/>
          <w:szCs w:val="24"/>
        </w:rPr>
        <w:t>r</w:t>
      </w:r>
      <w:r w:rsidRPr="00A76D84">
        <w:rPr>
          <w:rFonts w:cs="Arial"/>
          <w:szCs w:val="24"/>
        </w:rPr>
        <w:t>èglement sont en sus des exigences courantes de l’ASFC. Pour assurer la sécurité des agents, l’ASFC exige que les armes à feu, les munitions prohibées, les dispositifs</w:t>
      </w:r>
      <w:r w:rsidR="0097277E">
        <w:rPr>
          <w:rFonts w:cs="Arial"/>
          <w:szCs w:val="24"/>
        </w:rPr>
        <w:t xml:space="preserve"> </w:t>
      </w:r>
      <w:r w:rsidR="00EE2621">
        <w:rPr>
          <w:rFonts w:cs="Arial"/>
          <w:szCs w:val="24"/>
        </w:rPr>
        <w:t>prohibés</w:t>
      </w:r>
      <w:r w:rsidRPr="00A76D84">
        <w:rPr>
          <w:rFonts w:cs="Arial"/>
          <w:szCs w:val="24"/>
        </w:rPr>
        <w:t xml:space="preserve"> et les armes prohibé</w:t>
      </w:r>
      <w:r w:rsidR="000560D5">
        <w:rPr>
          <w:rFonts w:cs="Arial"/>
          <w:szCs w:val="24"/>
        </w:rPr>
        <w:t>e</w:t>
      </w:r>
      <w:r w:rsidRPr="00A76D84">
        <w:rPr>
          <w:rFonts w:cs="Arial"/>
          <w:szCs w:val="24"/>
        </w:rPr>
        <w:t>s et leurs composantes soient mis sous clé</w:t>
      </w:r>
      <w:r w:rsidR="00EF6574">
        <w:rPr>
          <w:rFonts w:cs="Arial"/>
          <w:szCs w:val="24"/>
        </w:rPr>
        <w:t xml:space="preserve"> lorsque</w:t>
      </w:r>
      <w:r w:rsidRPr="00A76D84">
        <w:rPr>
          <w:rFonts w:cs="Arial"/>
          <w:szCs w:val="24"/>
        </w:rPr>
        <w:t xml:space="preserve"> dans l’entrepôt d’attente.</w:t>
      </w:r>
    </w:p>
    <w:p w14:paraId="0EEB55A0" w14:textId="0FFFA18A" w:rsidR="00A76D84" w:rsidRDefault="008615BE" w:rsidP="008615BE">
      <w:pPr>
        <w:pStyle w:val="ListParagraph"/>
        <w:numPr>
          <w:ilvl w:val="0"/>
          <w:numId w:val="3"/>
        </w:numPr>
        <w:contextualSpacing w:val="0"/>
        <w:rPr>
          <w:rFonts w:cs="Arial"/>
          <w:szCs w:val="24"/>
        </w:rPr>
      </w:pPr>
      <w:r w:rsidRPr="00A76D84">
        <w:rPr>
          <w:rFonts w:cs="Arial"/>
          <w:szCs w:val="24"/>
        </w:rPr>
        <w:t xml:space="preserve">L’exploitant est tenu d’informer immédiatement l’ASFC si le bureau du directeur de l’enregistrement des armes à feu ou du contrôleur des armes à feu révoque le permis </w:t>
      </w:r>
      <w:r w:rsidR="00AC004C">
        <w:rPr>
          <w:rFonts w:cs="Arial"/>
          <w:szCs w:val="24"/>
        </w:rPr>
        <w:t>de</w:t>
      </w:r>
      <w:r w:rsidRPr="00A76D84">
        <w:rPr>
          <w:rFonts w:cs="Arial"/>
          <w:szCs w:val="24"/>
        </w:rPr>
        <w:t xml:space="preserve"> transporteur ou </w:t>
      </w:r>
      <w:r w:rsidR="00117C05">
        <w:rPr>
          <w:rFonts w:cs="Arial"/>
          <w:szCs w:val="24"/>
        </w:rPr>
        <w:t xml:space="preserve">le permis d’armes à feu </w:t>
      </w:r>
      <w:r w:rsidR="00AC004C">
        <w:rPr>
          <w:rFonts w:cs="Arial"/>
          <w:szCs w:val="24"/>
        </w:rPr>
        <w:t xml:space="preserve">pour </w:t>
      </w:r>
      <w:r w:rsidRPr="00A76D84">
        <w:rPr>
          <w:rFonts w:cs="Arial"/>
          <w:szCs w:val="24"/>
        </w:rPr>
        <w:t xml:space="preserve">entreprise. Le </w:t>
      </w:r>
      <w:hyperlink r:id="rId38" w:history="1">
        <w:r w:rsidRPr="00A76D84">
          <w:rPr>
            <w:rStyle w:val="Hyperlink"/>
            <w:rFonts w:cs="Arial"/>
            <w:szCs w:val="24"/>
          </w:rPr>
          <w:t>Mémorandum D19-13-2</w:t>
        </w:r>
        <w:r w:rsidR="00F12533">
          <w:rPr>
            <w:rStyle w:val="Hyperlink"/>
            <w:rFonts w:cs="Arial"/>
            <w:szCs w:val="24"/>
          </w:rPr>
          <w:t> :</w:t>
        </w:r>
        <w:r w:rsidRPr="00A76D84">
          <w:rPr>
            <w:rStyle w:val="Hyperlink"/>
            <w:rFonts w:cs="Arial"/>
            <w:szCs w:val="24"/>
          </w:rPr>
          <w:t xml:space="preserve"> Importation et exportation d’armes à feu, d’armes et de dispositifs</w:t>
        </w:r>
      </w:hyperlink>
      <w:r w:rsidRPr="00A76D84">
        <w:rPr>
          <w:rFonts w:cs="Arial"/>
          <w:szCs w:val="24"/>
        </w:rPr>
        <w:t xml:space="preserve">, le </w:t>
      </w:r>
      <w:hyperlink r:id="rId39" w:history="1">
        <w:r w:rsidRPr="00880932">
          <w:rPr>
            <w:rStyle w:val="Hyperlink"/>
            <w:rFonts w:cs="Arial"/>
            <w:i/>
            <w:iCs/>
            <w:szCs w:val="24"/>
          </w:rPr>
          <w:t>Tarif des douanes</w:t>
        </w:r>
      </w:hyperlink>
      <w:r w:rsidRPr="00A76D84">
        <w:rPr>
          <w:rFonts w:cs="Arial"/>
          <w:szCs w:val="24"/>
        </w:rPr>
        <w:t xml:space="preserve">, le </w:t>
      </w:r>
      <w:hyperlink r:id="rId40" w:history="1">
        <w:r w:rsidRPr="00880932">
          <w:rPr>
            <w:rStyle w:val="Hyperlink"/>
            <w:rFonts w:cs="Arial"/>
            <w:i/>
            <w:iCs/>
            <w:szCs w:val="24"/>
          </w:rPr>
          <w:t>Code criminel</w:t>
        </w:r>
      </w:hyperlink>
      <w:r w:rsidRPr="00A76D84">
        <w:rPr>
          <w:rFonts w:cs="Arial"/>
          <w:szCs w:val="24"/>
        </w:rPr>
        <w:t xml:space="preserve">, la </w:t>
      </w:r>
      <w:hyperlink r:id="rId41" w:history="1">
        <w:r w:rsidRPr="00880932">
          <w:rPr>
            <w:rStyle w:val="Hyperlink"/>
            <w:rFonts w:cs="Arial"/>
            <w:i/>
            <w:iCs/>
            <w:szCs w:val="24"/>
          </w:rPr>
          <w:t>Loi sur les armes à feu</w:t>
        </w:r>
      </w:hyperlink>
      <w:r w:rsidRPr="00A76D84">
        <w:rPr>
          <w:rFonts w:cs="Arial"/>
          <w:szCs w:val="24"/>
        </w:rPr>
        <w:t xml:space="preserve"> et la </w:t>
      </w:r>
      <w:hyperlink r:id="rId42" w:history="1">
        <w:r w:rsidRPr="00880932">
          <w:rPr>
            <w:rStyle w:val="Hyperlink"/>
            <w:rFonts w:cs="Arial"/>
            <w:i/>
            <w:iCs/>
            <w:szCs w:val="24"/>
          </w:rPr>
          <w:t>Loi sur les licences d’exportation et d’importation</w:t>
        </w:r>
      </w:hyperlink>
      <w:r w:rsidRPr="00A76D84">
        <w:rPr>
          <w:rFonts w:cs="Arial"/>
          <w:szCs w:val="24"/>
        </w:rPr>
        <w:t xml:space="preserve"> fournissent des renseignements généraux pour l’importation et l’exportation des armes à feu, des armes, des munitions et des dispositifs prohibés.</w:t>
      </w:r>
      <w:bookmarkStart w:id="100" w:name="_bookmark33"/>
      <w:bookmarkStart w:id="101" w:name="Timelimits"/>
      <w:bookmarkEnd w:id="100"/>
      <w:bookmarkEnd w:id="101"/>
    </w:p>
    <w:p w14:paraId="47BFC639" w14:textId="32E5834A" w:rsidR="00A76D84" w:rsidRPr="00A76D84" w:rsidRDefault="00A76D84" w:rsidP="00A76D84">
      <w:pPr>
        <w:pStyle w:val="Heading3"/>
      </w:pPr>
      <w:bookmarkStart w:id="102" w:name="_Délais"/>
      <w:bookmarkEnd w:id="102"/>
      <w:r w:rsidRPr="008615BE">
        <w:lastRenderedPageBreak/>
        <w:t>Délais</w:t>
      </w:r>
      <w:r w:rsidR="00061AC0">
        <w:t xml:space="preserve"> d’enlèvement des marchandises</w:t>
      </w:r>
    </w:p>
    <w:p w14:paraId="09949EF1" w14:textId="5564BF83" w:rsidR="00A76D84" w:rsidRDefault="008615BE" w:rsidP="008615BE">
      <w:pPr>
        <w:pStyle w:val="ListParagraph"/>
        <w:numPr>
          <w:ilvl w:val="0"/>
          <w:numId w:val="3"/>
        </w:numPr>
        <w:contextualSpacing w:val="0"/>
        <w:rPr>
          <w:rFonts w:cs="Arial"/>
          <w:szCs w:val="24"/>
        </w:rPr>
      </w:pPr>
      <w:r w:rsidRPr="00A76D84">
        <w:rPr>
          <w:rFonts w:cs="Arial"/>
          <w:szCs w:val="24"/>
        </w:rPr>
        <w:t xml:space="preserve">Les délais </w:t>
      </w:r>
      <w:r w:rsidR="00B25F19">
        <w:rPr>
          <w:rFonts w:cs="Arial"/>
          <w:szCs w:val="24"/>
        </w:rPr>
        <w:t xml:space="preserve">d’enlèvement </w:t>
      </w:r>
      <w:r w:rsidR="00E30B13">
        <w:rPr>
          <w:rFonts w:cs="Arial"/>
          <w:szCs w:val="24"/>
        </w:rPr>
        <w:t>des</w:t>
      </w:r>
      <w:r w:rsidRPr="00A76D84">
        <w:rPr>
          <w:rFonts w:cs="Arial"/>
          <w:szCs w:val="24"/>
        </w:rPr>
        <w:t xml:space="preserve"> marchandises entreposées dans un entrepôt d’attente sont prévus par le </w:t>
      </w:r>
      <w:r w:rsidRPr="00880932">
        <w:rPr>
          <w:rFonts w:cs="Arial"/>
          <w:i/>
          <w:iCs/>
          <w:szCs w:val="24"/>
        </w:rPr>
        <w:t>Règlement</w:t>
      </w:r>
      <w:r w:rsidRPr="00A76D84">
        <w:rPr>
          <w:rFonts w:cs="Arial"/>
          <w:szCs w:val="24"/>
        </w:rPr>
        <w:t>. Les marchandises entreposées dans un entrepôt d’attente qui ne sont pas enlevées de celui</w:t>
      </w:r>
      <w:r w:rsidRPr="00A76D84">
        <w:rPr>
          <w:rFonts w:cs="Arial"/>
          <w:szCs w:val="24"/>
        </w:rPr>
        <w:noBreakHyphen/>
        <w:t xml:space="preserve">ci dans un délai de 40 jours à compter de la date de la déclaration des marchandises en vertu de la </w:t>
      </w:r>
      <w:r w:rsidRPr="00880932">
        <w:rPr>
          <w:rFonts w:cs="Arial"/>
          <w:i/>
          <w:iCs/>
          <w:szCs w:val="24"/>
        </w:rPr>
        <w:t>Loi sur les douanes</w:t>
      </w:r>
      <w:r w:rsidRPr="00A76D84">
        <w:rPr>
          <w:rFonts w:cs="Arial"/>
          <w:szCs w:val="24"/>
        </w:rPr>
        <w:t xml:space="preserve"> peuvent être enlevées et placées en dépôt.</w:t>
      </w:r>
      <w:bookmarkStart w:id="103" w:name="_bookmark34"/>
      <w:bookmarkStart w:id="104" w:name="Exceptions"/>
      <w:bookmarkEnd w:id="103"/>
      <w:bookmarkEnd w:id="104"/>
    </w:p>
    <w:p w14:paraId="5A84E075" w14:textId="43693B62" w:rsidR="00A76D84" w:rsidRPr="00A76D84" w:rsidRDefault="00A76D84" w:rsidP="00A76D84">
      <w:pPr>
        <w:pStyle w:val="Heading3"/>
      </w:pPr>
      <w:bookmarkStart w:id="105" w:name="_Exceptions"/>
      <w:bookmarkEnd w:id="105"/>
      <w:r w:rsidRPr="008615BE">
        <w:t>Exceptions</w:t>
      </w:r>
    </w:p>
    <w:p w14:paraId="093CFD92" w14:textId="77777777" w:rsidR="00A76D84" w:rsidRDefault="008615BE" w:rsidP="008615BE">
      <w:pPr>
        <w:pStyle w:val="ListParagraph"/>
        <w:numPr>
          <w:ilvl w:val="0"/>
          <w:numId w:val="3"/>
        </w:numPr>
        <w:contextualSpacing w:val="0"/>
        <w:rPr>
          <w:rFonts w:cs="Arial"/>
          <w:szCs w:val="24"/>
        </w:rPr>
      </w:pPr>
      <w:r w:rsidRPr="00A76D84">
        <w:rPr>
          <w:rFonts w:cs="Arial"/>
          <w:szCs w:val="24"/>
        </w:rPr>
        <w:t>Les marchandises périssables qui n’ont pas été enlevées d’un entrepôt dans un délai de quatre jours à compter de la date de la déclaration peuvent être placées en dépôt.</w:t>
      </w:r>
    </w:p>
    <w:p w14:paraId="67593DD9" w14:textId="77777777" w:rsidR="00A76D84" w:rsidRDefault="008615BE" w:rsidP="008615BE">
      <w:pPr>
        <w:pStyle w:val="ListParagraph"/>
        <w:numPr>
          <w:ilvl w:val="0"/>
          <w:numId w:val="3"/>
        </w:numPr>
        <w:contextualSpacing w:val="0"/>
        <w:rPr>
          <w:rFonts w:cs="Arial"/>
          <w:szCs w:val="24"/>
        </w:rPr>
      </w:pPr>
      <w:r w:rsidRPr="00A76D84">
        <w:rPr>
          <w:rFonts w:cs="Arial"/>
          <w:szCs w:val="24"/>
        </w:rPr>
        <w:t xml:space="preserve">Les substances réglementées aux termes de la </w:t>
      </w:r>
      <w:hyperlink r:id="rId43" w:history="1">
        <w:r w:rsidRPr="00880932">
          <w:rPr>
            <w:rStyle w:val="Hyperlink"/>
            <w:rFonts w:cs="Arial"/>
            <w:i/>
            <w:iCs/>
            <w:szCs w:val="24"/>
          </w:rPr>
          <w:t>Loi sur la sûreté et la réglementation nucléaires</w:t>
        </w:r>
      </w:hyperlink>
      <w:r w:rsidRPr="00A76D84">
        <w:rPr>
          <w:rFonts w:cs="Arial"/>
          <w:szCs w:val="24"/>
        </w:rPr>
        <w:t xml:space="preserve"> ou les articles réglementés aux termes du </w:t>
      </w:r>
      <w:hyperlink r:id="rId44" w:history="1">
        <w:r w:rsidRPr="00880932">
          <w:rPr>
            <w:rStyle w:val="Hyperlink"/>
            <w:rFonts w:cs="Arial"/>
            <w:i/>
            <w:iCs/>
            <w:szCs w:val="24"/>
          </w:rPr>
          <w:t>Règlement général sur la sûreté et la réglementation nucléaires</w:t>
        </w:r>
      </w:hyperlink>
      <w:r w:rsidRPr="00A76D84">
        <w:rPr>
          <w:rFonts w:cs="Arial"/>
          <w:szCs w:val="24"/>
        </w:rPr>
        <w:t xml:space="preserve"> qui n’ont pas été enlevés dans un délai de 14 jours à compter de la date de la déclaration peuvent être placés en dépôt.</w:t>
      </w:r>
    </w:p>
    <w:p w14:paraId="74D5A284" w14:textId="77777777" w:rsidR="00A76D84" w:rsidRDefault="008615BE" w:rsidP="008615BE">
      <w:pPr>
        <w:pStyle w:val="ListParagraph"/>
        <w:numPr>
          <w:ilvl w:val="0"/>
          <w:numId w:val="3"/>
        </w:numPr>
        <w:contextualSpacing w:val="0"/>
        <w:rPr>
          <w:rFonts w:cs="Arial"/>
          <w:szCs w:val="24"/>
        </w:rPr>
      </w:pPr>
      <w:r w:rsidRPr="00A76D84">
        <w:rPr>
          <w:rFonts w:cs="Arial"/>
          <w:szCs w:val="24"/>
        </w:rPr>
        <w:t>Les armes à feu, les munitions prohibées, les dispositifs prohibés, les armes prohibées ou à autorisation restreinte et les produits du tabac qui relèvent d’une catégorie réglementaire sont confisqués s’ils ne sont pas enlevés d’un entrepôt d’attente dans un délai de 14 jours à compter de la date de leur déclaration.</w:t>
      </w:r>
    </w:p>
    <w:p w14:paraId="38C812D6" w14:textId="77777777" w:rsidR="00A76D84" w:rsidRDefault="008615BE" w:rsidP="008615BE">
      <w:pPr>
        <w:pStyle w:val="ListParagraph"/>
        <w:numPr>
          <w:ilvl w:val="0"/>
          <w:numId w:val="3"/>
        </w:numPr>
        <w:contextualSpacing w:val="0"/>
        <w:rPr>
          <w:rFonts w:cs="Arial"/>
          <w:szCs w:val="24"/>
        </w:rPr>
      </w:pPr>
      <w:r w:rsidRPr="00A76D84">
        <w:rPr>
          <w:rFonts w:cs="Arial"/>
          <w:szCs w:val="24"/>
        </w:rPr>
        <w:t xml:space="preserve">Les spiritueux qui relèvent d’une catégorie réglementaire sont confisqués s’ils ne sont pas enlevés d’un entrepôt d’attente dans un délai de 21 jours à compter de la date de la déclaration des marchandises.  </w:t>
      </w:r>
    </w:p>
    <w:p w14:paraId="30423EB3" w14:textId="79A7A322" w:rsidR="00A76D84" w:rsidRDefault="000F5338" w:rsidP="008615BE">
      <w:pPr>
        <w:pStyle w:val="ListParagraph"/>
        <w:numPr>
          <w:ilvl w:val="0"/>
          <w:numId w:val="3"/>
        </w:numPr>
        <w:contextualSpacing w:val="0"/>
        <w:rPr>
          <w:rFonts w:cs="Arial"/>
          <w:szCs w:val="24"/>
        </w:rPr>
      </w:pPr>
      <w:r>
        <w:rPr>
          <w:rFonts w:cs="Arial"/>
          <w:szCs w:val="24"/>
        </w:rPr>
        <w:t>Pour</w:t>
      </w:r>
      <w:r w:rsidR="008615BE" w:rsidRPr="00A76D84">
        <w:rPr>
          <w:rFonts w:cs="Arial"/>
          <w:szCs w:val="24"/>
        </w:rPr>
        <w:t xml:space="preserve"> de plus amples renseignements sur l’entreposage des marchandises</w:t>
      </w:r>
      <w:r>
        <w:rPr>
          <w:rFonts w:cs="Arial"/>
          <w:szCs w:val="24"/>
        </w:rPr>
        <w:t>, consulter</w:t>
      </w:r>
      <w:r w:rsidR="008615BE" w:rsidRPr="00A76D84">
        <w:rPr>
          <w:rFonts w:cs="Arial"/>
          <w:szCs w:val="24"/>
        </w:rPr>
        <w:t xml:space="preserve"> le </w:t>
      </w:r>
      <w:hyperlink r:id="rId45" w:history="1">
        <w:r w:rsidR="008615BE" w:rsidRPr="00CA2D6B">
          <w:rPr>
            <w:rStyle w:val="Hyperlink"/>
            <w:rFonts w:cs="Arial"/>
            <w:szCs w:val="24"/>
          </w:rPr>
          <w:t>Mémorandum D4-1-5</w:t>
        </w:r>
        <w:r w:rsidR="00F12533" w:rsidRPr="00CA2D6B">
          <w:rPr>
            <w:rStyle w:val="Hyperlink"/>
            <w:rFonts w:cs="Arial"/>
            <w:szCs w:val="24"/>
          </w:rPr>
          <w:t> :</w:t>
        </w:r>
        <w:r w:rsidR="008615BE" w:rsidRPr="00CA2D6B">
          <w:rPr>
            <w:rStyle w:val="Hyperlink"/>
            <w:rFonts w:cs="Arial"/>
            <w:szCs w:val="24"/>
          </w:rPr>
          <w:t xml:space="preserve"> Entreposage des marchandises</w:t>
        </w:r>
      </w:hyperlink>
      <w:r w:rsidR="008615BE" w:rsidRPr="00A76D84">
        <w:rPr>
          <w:rFonts w:cs="Arial"/>
          <w:szCs w:val="24"/>
        </w:rPr>
        <w:t xml:space="preserve">. </w:t>
      </w:r>
      <w:r>
        <w:rPr>
          <w:rFonts w:cs="Arial"/>
          <w:szCs w:val="24"/>
        </w:rPr>
        <w:t>Pour obtenir</w:t>
      </w:r>
      <w:r w:rsidR="008615BE" w:rsidRPr="00A76D84">
        <w:rPr>
          <w:rFonts w:cs="Arial"/>
          <w:szCs w:val="24"/>
        </w:rPr>
        <w:t xml:space="preserve"> des renseignements sur la prorogation des délais</w:t>
      </w:r>
      <w:r>
        <w:rPr>
          <w:rFonts w:cs="Arial"/>
          <w:szCs w:val="24"/>
        </w:rPr>
        <w:t>, consulter</w:t>
      </w:r>
      <w:r w:rsidR="008615BE" w:rsidRPr="00A76D84">
        <w:rPr>
          <w:rFonts w:cs="Arial"/>
          <w:szCs w:val="24"/>
        </w:rPr>
        <w:t xml:space="preserve"> le</w:t>
      </w:r>
      <w:hyperlink r:id="rId46" w:history="1">
        <w:r w:rsidR="008615BE" w:rsidRPr="00A76D84">
          <w:rPr>
            <w:rStyle w:val="Hyperlink"/>
            <w:rFonts w:cs="Arial"/>
            <w:szCs w:val="24"/>
          </w:rPr>
          <w:t xml:space="preserve"> Mémorandum D4-1-7</w:t>
        </w:r>
        <w:r w:rsidR="00F12533">
          <w:rPr>
            <w:rStyle w:val="Hyperlink"/>
            <w:rFonts w:cs="Arial"/>
            <w:szCs w:val="24"/>
          </w:rPr>
          <w:t> :</w:t>
        </w:r>
        <w:r w:rsidR="008615BE" w:rsidRPr="00A76D84">
          <w:rPr>
            <w:rStyle w:val="Hyperlink"/>
            <w:rFonts w:cs="Arial"/>
            <w:szCs w:val="24"/>
          </w:rPr>
          <w:t xml:space="preserve"> Prorogation des délais pour l’entreposage des marchandises</w:t>
        </w:r>
      </w:hyperlink>
      <w:r w:rsidR="008615BE" w:rsidRPr="00A76D84">
        <w:rPr>
          <w:rFonts w:cs="Arial"/>
          <w:szCs w:val="24"/>
        </w:rPr>
        <w:t>.</w:t>
      </w:r>
      <w:bookmarkStart w:id="106" w:name="_bookmark35"/>
      <w:bookmarkStart w:id="107" w:name="PlaceofSafekeeping"/>
      <w:bookmarkStart w:id="108" w:name="_bookmark36"/>
      <w:bookmarkStart w:id="109" w:name="UnclaimedGoods"/>
      <w:bookmarkEnd w:id="106"/>
      <w:bookmarkEnd w:id="107"/>
      <w:bookmarkEnd w:id="108"/>
      <w:bookmarkEnd w:id="109"/>
    </w:p>
    <w:p w14:paraId="6855D26C" w14:textId="3F4B8D4A" w:rsidR="00A76D84" w:rsidRPr="00A76D84" w:rsidRDefault="00A76D84" w:rsidP="00A76D84">
      <w:pPr>
        <w:pStyle w:val="Heading3"/>
      </w:pPr>
      <w:bookmarkStart w:id="110" w:name="_Lieu_de_dépôt"/>
      <w:bookmarkEnd w:id="110"/>
      <w:r w:rsidRPr="008615BE">
        <w:t>Lieu de dépôt</w:t>
      </w:r>
    </w:p>
    <w:p w14:paraId="735BB5C2" w14:textId="2F2A4571" w:rsidR="00A76D84" w:rsidRDefault="008615BE" w:rsidP="008615BE">
      <w:pPr>
        <w:pStyle w:val="ListParagraph"/>
        <w:numPr>
          <w:ilvl w:val="0"/>
          <w:numId w:val="3"/>
        </w:numPr>
        <w:contextualSpacing w:val="0"/>
        <w:rPr>
          <w:rFonts w:cs="Arial"/>
          <w:szCs w:val="24"/>
        </w:rPr>
      </w:pPr>
      <w:r w:rsidRPr="00A76D84">
        <w:rPr>
          <w:rFonts w:cs="Arial"/>
          <w:szCs w:val="24"/>
        </w:rPr>
        <w:t>Les endroits suivants peuvent être désignés à titre de lieux de dépôt conformément à l’article</w:t>
      </w:r>
      <w:r w:rsidR="008B6768">
        <w:rPr>
          <w:rFonts w:cs="Arial"/>
          <w:szCs w:val="24"/>
        </w:rPr>
        <w:t> </w:t>
      </w:r>
      <w:r w:rsidRPr="00A76D84">
        <w:rPr>
          <w:rFonts w:cs="Arial"/>
          <w:szCs w:val="24"/>
        </w:rPr>
        <w:t xml:space="preserve">37 de la </w:t>
      </w:r>
      <w:r w:rsidRPr="00880932">
        <w:rPr>
          <w:rFonts w:cs="Arial"/>
          <w:i/>
          <w:iCs/>
          <w:szCs w:val="24"/>
        </w:rPr>
        <w:t>Loi sur les douanes</w:t>
      </w:r>
      <w:r w:rsidRPr="00A76D84">
        <w:rPr>
          <w:rFonts w:cs="Arial"/>
          <w:szCs w:val="24"/>
        </w:rPr>
        <w:t> :</w:t>
      </w:r>
    </w:p>
    <w:p w14:paraId="431950FD" w14:textId="77777777" w:rsidR="00A76D84" w:rsidRDefault="008615BE" w:rsidP="008615BE">
      <w:pPr>
        <w:pStyle w:val="ListParagraph"/>
        <w:numPr>
          <w:ilvl w:val="1"/>
          <w:numId w:val="3"/>
        </w:numPr>
        <w:contextualSpacing w:val="0"/>
        <w:rPr>
          <w:rFonts w:cs="Arial"/>
          <w:szCs w:val="24"/>
        </w:rPr>
      </w:pPr>
      <w:r w:rsidRPr="00A76D84">
        <w:rPr>
          <w:rFonts w:cs="Arial"/>
          <w:szCs w:val="24"/>
        </w:rPr>
        <w:lastRenderedPageBreak/>
        <w:t>les bureaux de l’ASFC, les entrepôts d’examen à la frontière terrestre, les dépôts de douane;</w:t>
      </w:r>
    </w:p>
    <w:p w14:paraId="4BBF92B0" w14:textId="03B6BDB9" w:rsidR="00A76D84" w:rsidRDefault="008615BE" w:rsidP="008615BE">
      <w:pPr>
        <w:pStyle w:val="ListParagraph"/>
        <w:numPr>
          <w:ilvl w:val="1"/>
          <w:numId w:val="3"/>
        </w:numPr>
        <w:contextualSpacing w:val="0"/>
        <w:rPr>
          <w:rFonts w:cs="Arial"/>
          <w:szCs w:val="24"/>
        </w:rPr>
      </w:pPr>
      <w:r w:rsidRPr="00A76D84">
        <w:rPr>
          <w:rFonts w:cs="Arial"/>
          <w:szCs w:val="24"/>
        </w:rPr>
        <w:t>une partie d’un entrepôt d’attente ou d’un entrepôt de stockage;</w:t>
      </w:r>
    </w:p>
    <w:p w14:paraId="4A04CBA7" w14:textId="77777777" w:rsidR="00A76D84" w:rsidRDefault="008615BE" w:rsidP="008615BE">
      <w:pPr>
        <w:pStyle w:val="ListParagraph"/>
        <w:numPr>
          <w:ilvl w:val="1"/>
          <w:numId w:val="3"/>
        </w:numPr>
        <w:contextualSpacing w:val="0"/>
        <w:rPr>
          <w:rFonts w:cs="Arial"/>
          <w:szCs w:val="24"/>
        </w:rPr>
      </w:pPr>
      <w:r w:rsidRPr="00A76D84">
        <w:rPr>
          <w:rFonts w:cs="Arial"/>
          <w:szCs w:val="24"/>
        </w:rPr>
        <w:t>tout autre endroit désigné par le fonctionnaire délégué de l’ASFC au nom du ministre de la Sécurité publique.</w:t>
      </w:r>
    </w:p>
    <w:p w14:paraId="3388B29E" w14:textId="3B2F63BA" w:rsidR="00A76D84" w:rsidRPr="00A76D84" w:rsidRDefault="00A76D84" w:rsidP="00A76D84">
      <w:pPr>
        <w:pStyle w:val="Heading3"/>
      </w:pPr>
      <w:bookmarkStart w:id="111" w:name="_Marchandises_non_réclamées"/>
      <w:bookmarkEnd w:id="111"/>
      <w:r w:rsidRPr="008615BE">
        <w:t>Marchandises non réclamées</w:t>
      </w:r>
    </w:p>
    <w:p w14:paraId="6BEF4FA9" w14:textId="14990221" w:rsidR="00D50802" w:rsidRDefault="008615BE" w:rsidP="008615BE">
      <w:pPr>
        <w:pStyle w:val="ListParagraph"/>
        <w:numPr>
          <w:ilvl w:val="0"/>
          <w:numId w:val="3"/>
        </w:numPr>
        <w:contextualSpacing w:val="0"/>
        <w:rPr>
          <w:rFonts w:cs="Arial"/>
          <w:szCs w:val="24"/>
        </w:rPr>
      </w:pPr>
      <w:r w:rsidRPr="00A76D84">
        <w:rPr>
          <w:rFonts w:cs="Arial"/>
          <w:szCs w:val="24"/>
        </w:rPr>
        <w:t xml:space="preserve">En vertu du </w:t>
      </w:r>
      <w:r w:rsidRPr="00880932">
        <w:rPr>
          <w:rFonts w:cs="Arial"/>
          <w:i/>
          <w:iCs/>
          <w:szCs w:val="24"/>
        </w:rPr>
        <w:t>Règlement</w:t>
      </w:r>
      <w:r w:rsidRPr="00A76D84">
        <w:rPr>
          <w:rFonts w:cs="Arial"/>
          <w:szCs w:val="24"/>
        </w:rPr>
        <w:t>, les exploitants sont tenus de fournir à l’ASFC une liste de toutes les marchandises qui n’ont pas été enlevées de l’entrepôt à l’expiration des délais susmentionnés. Cette liste est présentée le premier jour ouvrable suivant l’expiration d</w:t>
      </w:r>
      <w:r w:rsidR="009F4664">
        <w:rPr>
          <w:rFonts w:cs="Arial"/>
          <w:szCs w:val="24"/>
        </w:rPr>
        <w:t>u</w:t>
      </w:r>
      <w:r w:rsidRPr="00A76D84">
        <w:rPr>
          <w:rFonts w:cs="Arial"/>
          <w:szCs w:val="24"/>
        </w:rPr>
        <w:t xml:space="preserve"> délai et les marchandises importées qui y sont inscrites sont alors considérées par l’ASFC comme des marchandises non réclamées dont il sera disposé conformément à la Loi. </w:t>
      </w:r>
      <w:bookmarkStart w:id="112" w:name="_bookmark37"/>
      <w:bookmarkStart w:id="113" w:name="GeographicBoundaries"/>
      <w:bookmarkEnd w:id="112"/>
      <w:bookmarkEnd w:id="113"/>
    </w:p>
    <w:p w14:paraId="028C1082" w14:textId="16B11755" w:rsidR="00D50802" w:rsidRPr="00D50802" w:rsidRDefault="00D50802" w:rsidP="00D50802">
      <w:pPr>
        <w:pStyle w:val="Heading3"/>
      </w:pPr>
      <w:bookmarkStart w:id="114" w:name="_Limites_géographiques_et"/>
      <w:bookmarkEnd w:id="114"/>
      <w:r w:rsidRPr="008615BE">
        <w:t>Limites géographiques et seuils minimaux en termes de volume pour l’ouverture et la fermeture des entrepôts d’attente</w:t>
      </w:r>
    </w:p>
    <w:p w14:paraId="170C220A" w14:textId="4CF36E00" w:rsidR="00D50802" w:rsidRDefault="008615BE" w:rsidP="008615BE">
      <w:pPr>
        <w:pStyle w:val="ListParagraph"/>
        <w:numPr>
          <w:ilvl w:val="0"/>
          <w:numId w:val="3"/>
        </w:numPr>
        <w:contextualSpacing w:val="0"/>
        <w:rPr>
          <w:rFonts w:cs="Arial"/>
          <w:szCs w:val="24"/>
        </w:rPr>
      </w:pPr>
      <w:r w:rsidRPr="00D50802">
        <w:rPr>
          <w:rFonts w:cs="Arial"/>
          <w:szCs w:val="24"/>
        </w:rPr>
        <w:t>En raison des exigences opérationnelles propres à chaque région de l’ASFC au Canada, les décisions de l’Agence d’ouvrir une nouvelle installation d</w:t>
      </w:r>
      <w:r w:rsidR="00777FEE">
        <w:rPr>
          <w:rFonts w:cs="Arial"/>
          <w:szCs w:val="24"/>
        </w:rPr>
        <w:t>’entrepôt d’attente</w:t>
      </w:r>
      <w:r w:rsidRPr="00D50802">
        <w:rPr>
          <w:rFonts w:cs="Arial"/>
          <w:szCs w:val="24"/>
        </w:rPr>
        <w:t xml:space="preserve"> ou de fermer un entrepôt déjà en place doivent être prises au cas par cas, compte tenu des besoins du client par rapport à la disponibilité du personnel de l’ASFC pour desservir cet emplacement.</w:t>
      </w:r>
    </w:p>
    <w:p w14:paraId="4174ABC7" w14:textId="31CFD0D0" w:rsidR="00D50802" w:rsidRDefault="008615BE" w:rsidP="008615BE">
      <w:pPr>
        <w:pStyle w:val="ListParagraph"/>
        <w:numPr>
          <w:ilvl w:val="0"/>
          <w:numId w:val="3"/>
        </w:numPr>
        <w:contextualSpacing w:val="0"/>
        <w:rPr>
          <w:rFonts w:cs="Arial"/>
          <w:szCs w:val="24"/>
        </w:rPr>
      </w:pPr>
      <w:r w:rsidRPr="00D50802">
        <w:rPr>
          <w:rFonts w:cs="Arial"/>
          <w:szCs w:val="24"/>
        </w:rPr>
        <w:t>Les critères propres au seuil minimal en termes de volume et aux distances maximales ne sont pas définis par l’ASFC et ne peuvent être normalisés à l’échelle du pays. Les fonctionnaires locaux de l’ASFC continueront à exercer leur pouvoir discrétionnaire pour appliquer les seuils concernant le volume et les distances et s’assureront de la cohérence des décisions prises pour ouvrir de nouvelles installations d</w:t>
      </w:r>
      <w:r w:rsidR="00777FEE">
        <w:rPr>
          <w:rFonts w:cs="Arial"/>
          <w:szCs w:val="24"/>
        </w:rPr>
        <w:t>’entrepôt d’attente</w:t>
      </w:r>
      <w:r w:rsidRPr="00D50802">
        <w:rPr>
          <w:rFonts w:cs="Arial"/>
          <w:szCs w:val="24"/>
        </w:rPr>
        <w:t xml:space="preserve"> ou pour fermer d’autres déjà en place, et ce, selon les besoins locaux.</w:t>
      </w:r>
      <w:bookmarkStart w:id="115" w:name="_bookmark38"/>
      <w:bookmarkStart w:id="116" w:name="TypesofSufferanceWarehouses"/>
      <w:bookmarkStart w:id="117" w:name="paragraph99"/>
      <w:bookmarkStart w:id="118" w:name="paragraph97"/>
      <w:bookmarkEnd w:id="115"/>
      <w:bookmarkEnd w:id="116"/>
      <w:bookmarkEnd w:id="117"/>
    </w:p>
    <w:p w14:paraId="6C947645" w14:textId="274A6966" w:rsidR="00D50802" w:rsidRPr="00D50802" w:rsidRDefault="00D50802" w:rsidP="00D50802">
      <w:pPr>
        <w:pStyle w:val="Heading3"/>
      </w:pPr>
      <w:bookmarkStart w:id="119" w:name="_Catégories_d’entrepôts_d’attente"/>
      <w:bookmarkEnd w:id="119"/>
      <w:r w:rsidRPr="008615BE">
        <w:t>Catégories d’entrepôts d’attente</w:t>
      </w:r>
    </w:p>
    <w:p w14:paraId="58DA1DF3" w14:textId="77777777" w:rsidR="00D50802" w:rsidRDefault="008615BE" w:rsidP="008615BE">
      <w:pPr>
        <w:pStyle w:val="ListParagraph"/>
        <w:numPr>
          <w:ilvl w:val="0"/>
          <w:numId w:val="3"/>
        </w:numPr>
        <w:contextualSpacing w:val="0"/>
        <w:rPr>
          <w:rFonts w:cs="Arial"/>
          <w:szCs w:val="24"/>
        </w:rPr>
      </w:pPr>
      <w:r w:rsidRPr="00D50802">
        <w:rPr>
          <w:rFonts w:cs="Arial"/>
          <w:szCs w:val="24"/>
        </w:rPr>
        <w:t>Il existe cinq principales catégories d’entrepôt d’attente : A, B, C, S et PS.</w:t>
      </w:r>
    </w:p>
    <w:p w14:paraId="3C1D0E06" w14:textId="261280B4" w:rsidR="00D50802" w:rsidRPr="00D50802" w:rsidRDefault="00D50802" w:rsidP="00D50802">
      <w:pPr>
        <w:pStyle w:val="Heading3"/>
      </w:pPr>
      <w:bookmarkStart w:id="120" w:name="_Catégorie_A_–"/>
      <w:bookmarkEnd w:id="120"/>
      <w:r w:rsidRPr="008615BE">
        <w:lastRenderedPageBreak/>
        <w:t xml:space="preserve">Catégorie A – </w:t>
      </w:r>
      <w:r w:rsidR="002D2362">
        <w:t>m</w:t>
      </w:r>
      <w:r w:rsidRPr="008615BE">
        <w:t>archandises diverses</w:t>
      </w:r>
    </w:p>
    <w:p w14:paraId="70D9D0AB" w14:textId="0C8A9B19" w:rsidR="00D50802" w:rsidRDefault="008615BE" w:rsidP="008615BE">
      <w:pPr>
        <w:pStyle w:val="ListParagraph"/>
        <w:numPr>
          <w:ilvl w:val="0"/>
          <w:numId w:val="3"/>
        </w:numPr>
        <w:contextualSpacing w:val="0"/>
        <w:rPr>
          <w:rFonts w:cs="Arial"/>
          <w:szCs w:val="24"/>
        </w:rPr>
      </w:pPr>
      <w:r w:rsidRPr="00D50802">
        <w:rPr>
          <w:rFonts w:cs="Arial"/>
          <w:szCs w:val="24"/>
        </w:rPr>
        <w:t xml:space="preserve">Une compagnie aérienne, une compagnie maritime ou une société de chemin de fer peut exploiter un entrepôt d’attente de catégorie A. Cette catégorie d’entrepôt est un entrepôt primaire qui sert à l’entreposage de marchandises importées dans le cadre du système de l’entreprise. Un entrepôt de catégorie A peut aussi être exploité par un manutentionnaire de fret agissant </w:t>
      </w:r>
      <w:r w:rsidR="00A909A9">
        <w:rPr>
          <w:rFonts w:cs="Arial"/>
          <w:szCs w:val="24"/>
        </w:rPr>
        <w:t>en vertu d’un</w:t>
      </w:r>
      <w:r w:rsidRPr="00D50802">
        <w:rPr>
          <w:rFonts w:cs="Arial"/>
          <w:szCs w:val="24"/>
        </w:rPr>
        <w:t xml:space="preserve"> contrat comme mandataire exclusif d’une compagnie aérienne, d’une compagnie maritime ou d’une société de chemin de fer.</w:t>
      </w:r>
    </w:p>
    <w:p w14:paraId="473F9BBB" w14:textId="3C6CD843" w:rsidR="00D50802" w:rsidRDefault="008615BE" w:rsidP="008615BE">
      <w:pPr>
        <w:pStyle w:val="ListParagraph"/>
        <w:numPr>
          <w:ilvl w:val="0"/>
          <w:numId w:val="3"/>
        </w:numPr>
        <w:contextualSpacing w:val="0"/>
        <w:rPr>
          <w:rFonts w:cs="Arial"/>
          <w:szCs w:val="24"/>
        </w:rPr>
      </w:pPr>
      <w:r w:rsidRPr="00D50802">
        <w:rPr>
          <w:rFonts w:cs="Arial"/>
          <w:szCs w:val="24"/>
        </w:rPr>
        <w:t xml:space="preserve">Les entrepôts d’attente de catégorie A comprennent aussi ceux qui se trouvent sur des quais maritimes et qui sont exploités par une commission portuaire, une entreprise de manutention ou toute autre personne qui fournit l’équipement, le personnel et d’autres services pour décharger et entreposer les marchandises importées, non dédouanées, sous douane arrivant à bord de navires ou de tout autre moyen de transport en vue de l’exportation conformément aux restrictions liées à la catégorie d’entrepôt énoncées ci-dessous. </w:t>
      </w:r>
    </w:p>
    <w:p w14:paraId="6FD46283" w14:textId="77777777" w:rsidR="00D50802" w:rsidRPr="008615BE" w:rsidRDefault="00D50802" w:rsidP="00D50802">
      <w:pPr>
        <w:spacing w:line="345" w:lineRule="exact"/>
        <w:rPr>
          <w:rFonts w:ascii="Arial" w:hAnsi="Arial" w:cs="Arial"/>
          <w:sz w:val="24"/>
          <w:szCs w:val="24"/>
          <w:lang w:val="fr-CA"/>
        </w:rPr>
      </w:pPr>
      <w:r w:rsidRPr="008615BE">
        <w:rPr>
          <w:rFonts w:ascii="Arial" w:hAnsi="Arial" w:cs="Arial"/>
          <w:sz w:val="24"/>
          <w:szCs w:val="24"/>
          <w:lang w:val="fr-CA"/>
        </w:rPr>
        <w:t>Les entrepôts de catégorie A comprennent les sous</w:t>
      </w:r>
      <w:r w:rsidRPr="008615BE">
        <w:rPr>
          <w:rFonts w:ascii="Arial" w:hAnsi="Arial" w:cs="Arial"/>
          <w:sz w:val="24"/>
          <w:szCs w:val="24"/>
          <w:lang w:val="fr-CA"/>
        </w:rPr>
        <w:noBreakHyphen/>
        <w:t>catégories suivantes :</w:t>
      </w:r>
    </w:p>
    <w:p w14:paraId="41D425D7" w14:textId="77777777" w:rsidR="00D50802" w:rsidRPr="008615BE" w:rsidRDefault="00D50802" w:rsidP="00D50802">
      <w:pPr>
        <w:spacing w:after="0" w:line="345" w:lineRule="exact"/>
        <w:rPr>
          <w:rFonts w:ascii="Arial" w:hAnsi="Arial" w:cs="Arial"/>
          <w:b/>
          <w:bCs/>
          <w:sz w:val="24"/>
          <w:szCs w:val="24"/>
          <w:lang w:val="fr-CA"/>
        </w:rPr>
      </w:pPr>
      <w:r w:rsidRPr="008615BE">
        <w:rPr>
          <w:rFonts w:ascii="Arial" w:hAnsi="Arial" w:cs="Arial"/>
          <w:b/>
          <w:bCs/>
          <w:sz w:val="24"/>
          <w:szCs w:val="24"/>
          <w:lang w:val="fr-CA"/>
        </w:rPr>
        <w:t>AA</w:t>
      </w:r>
    </w:p>
    <w:p w14:paraId="02BC7277" w14:textId="77777777" w:rsidR="00D50802" w:rsidRPr="008615BE" w:rsidRDefault="00D50802" w:rsidP="00D50802">
      <w:pPr>
        <w:spacing w:line="345" w:lineRule="exact"/>
        <w:rPr>
          <w:rFonts w:ascii="Arial" w:hAnsi="Arial" w:cs="Arial"/>
          <w:sz w:val="24"/>
          <w:szCs w:val="24"/>
          <w:lang w:val="fr-CA"/>
        </w:rPr>
      </w:pPr>
      <w:r w:rsidRPr="008615BE">
        <w:rPr>
          <w:rFonts w:ascii="Arial" w:hAnsi="Arial" w:cs="Arial"/>
          <w:sz w:val="24"/>
          <w:szCs w:val="24"/>
          <w:lang w:val="fr-CA"/>
        </w:rPr>
        <w:t>compagnie aérienne;</w:t>
      </w:r>
    </w:p>
    <w:p w14:paraId="127FEC0A" w14:textId="77777777" w:rsidR="00D50802" w:rsidRPr="008615BE" w:rsidRDefault="00D50802" w:rsidP="00D50802">
      <w:pPr>
        <w:spacing w:after="0" w:line="345" w:lineRule="exact"/>
        <w:rPr>
          <w:rFonts w:ascii="Arial" w:hAnsi="Arial" w:cs="Arial"/>
          <w:b/>
          <w:bCs/>
          <w:sz w:val="24"/>
          <w:szCs w:val="24"/>
          <w:lang w:val="fr-CA"/>
        </w:rPr>
      </w:pPr>
      <w:r w:rsidRPr="008615BE">
        <w:rPr>
          <w:rFonts w:ascii="Arial" w:hAnsi="Arial" w:cs="Arial"/>
          <w:b/>
          <w:bCs/>
          <w:sz w:val="24"/>
          <w:szCs w:val="24"/>
          <w:lang w:val="fr-CA"/>
        </w:rPr>
        <w:t>AM</w:t>
      </w:r>
    </w:p>
    <w:p w14:paraId="508F06F0" w14:textId="77777777" w:rsidR="00D50802" w:rsidRPr="008615BE" w:rsidRDefault="00D50802" w:rsidP="00D50802">
      <w:pPr>
        <w:spacing w:line="345" w:lineRule="exact"/>
        <w:rPr>
          <w:rFonts w:ascii="Arial" w:hAnsi="Arial" w:cs="Arial"/>
          <w:sz w:val="24"/>
          <w:szCs w:val="24"/>
          <w:lang w:val="fr-CA"/>
        </w:rPr>
      </w:pPr>
      <w:r w:rsidRPr="008615BE">
        <w:rPr>
          <w:rFonts w:ascii="Arial" w:hAnsi="Arial" w:cs="Arial"/>
          <w:sz w:val="24"/>
          <w:szCs w:val="24"/>
          <w:lang w:val="fr-CA"/>
        </w:rPr>
        <w:t>compagnie de transport maritime;</w:t>
      </w:r>
    </w:p>
    <w:p w14:paraId="1A0A04B9" w14:textId="77777777" w:rsidR="00D50802" w:rsidRPr="008615BE" w:rsidRDefault="00D50802" w:rsidP="00D50802">
      <w:pPr>
        <w:spacing w:after="0" w:line="345" w:lineRule="exact"/>
        <w:rPr>
          <w:rFonts w:ascii="Arial" w:hAnsi="Arial" w:cs="Arial"/>
          <w:b/>
          <w:bCs/>
          <w:sz w:val="24"/>
          <w:szCs w:val="24"/>
          <w:lang w:val="fr-CA"/>
        </w:rPr>
      </w:pPr>
      <w:r w:rsidRPr="008615BE">
        <w:rPr>
          <w:rFonts w:ascii="Arial" w:hAnsi="Arial" w:cs="Arial"/>
          <w:b/>
          <w:bCs/>
          <w:sz w:val="24"/>
          <w:szCs w:val="24"/>
          <w:lang w:val="fr-CA"/>
        </w:rPr>
        <w:t>AR</w:t>
      </w:r>
    </w:p>
    <w:p w14:paraId="0D63F764" w14:textId="36B15570" w:rsidR="00D50802" w:rsidRPr="008615BE" w:rsidRDefault="00D50802" w:rsidP="00D50802">
      <w:pPr>
        <w:spacing w:line="345" w:lineRule="exact"/>
        <w:rPr>
          <w:rFonts w:ascii="Arial" w:hAnsi="Arial" w:cs="Arial"/>
          <w:sz w:val="24"/>
          <w:szCs w:val="24"/>
          <w:lang w:val="fr-CA"/>
        </w:rPr>
      </w:pPr>
      <w:r w:rsidRPr="008615BE">
        <w:rPr>
          <w:rFonts w:ascii="Arial" w:hAnsi="Arial" w:cs="Arial"/>
          <w:sz w:val="24"/>
          <w:szCs w:val="24"/>
          <w:lang w:val="fr-CA"/>
        </w:rPr>
        <w:t xml:space="preserve">société de chemin de fer, y compris les </w:t>
      </w:r>
      <w:r w:rsidR="00A02452">
        <w:rPr>
          <w:rFonts w:ascii="Arial" w:hAnsi="Arial" w:cs="Arial"/>
          <w:sz w:val="24"/>
          <w:szCs w:val="24"/>
          <w:lang w:val="fr-CA"/>
        </w:rPr>
        <w:t>gares</w:t>
      </w:r>
      <w:r w:rsidRPr="008615BE">
        <w:rPr>
          <w:rFonts w:ascii="Arial" w:hAnsi="Arial" w:cs="Arial"/>
          <w:sz w:val="24"/>
          <w:szCs w:val="24"/>
          <w:lang w:val="fr-CA"/>
        </w:rPr>
        <w:t xml:space="preserve"> de triage et les voies de dépôt;</w:t>
      </w:r>
    </w:p>
    <w:p w14:paraId="4F16640F" w14:textId="77777777" w:rsidR="00D50802" w:rsidRPr="008615BE" w:rsidRDefault="00D50802" w:rsidP="00D50802">
      <w:pPr>
        <w:spacing w:after="0" w:line="345" w:lineRule="exact"/>
        <w:rPr>
          <w:rFonts w:ascii="Arial" w:hAnsi="Arial" w:cs="Arial"/>
          <w:b/>
          <w:bCs/>
          <w:sz w:val="24"/>
          <w:szCs w:val="24"/>
          <w:lang w:val="fr-CA"/>
        </w:rPr>
      </w:pPr>
      <w:r w:rsidRPr="008615BE">
        <w:rPr>
          <w:rFonts w:ascii="Arial" w:hAnsi="Arial" w:cs="Arial"/>
          <w:b/>
          <w:bCs/>
          <w:sz w:val="24"/>
          <w:szCs w:val="24"/>
          <w:lang w:val="fr-CA"/>
        </w:rPr>
        <w:t>AH</w:t>
      </w:r>
    </w:p>
    <w:p w14:paraId="29097E26" w14:textId="77777777" w:rsidR="00D50802" w:rsidRPr="008615BE" w:rsidRDefault="00D50802" w:rsidP="00D50802">
      <w:pPr>
        <w:spacing w:line="345" w:lineRule="exact"/>
        <w:rPr>
          <w:rFonts w:ascii="Arial" w:hAnsi="Arial" w:cs="Arial"/>
          <w:sz w:val="24"/>
          <w:szCs w:val="24"/>
          <w:lang w:val="fr-CA"/>
        </w:rPr>
      </w:pPr>
      <w:r w:rsidRPr="008615BE">
        <w:rPr>
          <w:rFonts w:ascii="Arial" w:hAnsi="Arial" w:cs="Arial"/>
          <w:sz w:val="24"/>
          <w:szCs w:val="24"/>
          <w:lang w:val="fr-CA"/>
        </w:rPr>
        <w:t xml:space="preserve">manutentionnaire de fret pour l’une des entreprises susmentionnées; </w:t>
      </w:r>
    </w:p>
    <w:p w14:paraId="6C394474" w14:textId="77777777" w:rsidR="00D50802" w:rsidRPr="008615BE" w:rsidRDefault="00D50802" w:rsidP="00D50802">
      <w:pPr>
        <w:spacing w:after="0" w:line="345" w:lineRule="exact"/>
        <w:rPr>
          <w:rFonts w:ascii="Arial" w:hAnsi="Arial" w:cs="Arial"/>
          <w:b/>
          <w:bCs/>
          <w:sz w:val="24"/>
          <w:szCs w:val="24"/>
          <w:lang w:val="fr-CA"/>
        </w:rPr>
      </w:pPr>
      <w:r w:rsidRPr="008615BE">
        <w:rPr>
          <w:rFonts w:ascii="Arial" w:hAnsi="Arial" w:cs="Arial"/>
          <w:b/>
          <w:bCs/>
          <w:sz w:val="24"/>
          <w:szCs w:val="24"/>
          <w:lang w:val="fr-CA"/>
        </w:rPr>
        <w:t>AW</w:t>
      </w:r>
    </w:p>
    <w:p w14:paraId="6C040F5F" w14:textId="77777777" w:rsidR="00D50802" w:rsidRPr="008615BE" w:rsidRDefault="00D50802" w:rsidP="00D50802">
      <w:pPr>
        <w:spacing w:line="345" w:lineRule="exact"/>
        <w:rPr>
          <w:rFonts w:ascii="Arial" w:hAnsi="Arial" w:cs="Arial"/>
          <w:sz w:val="24"/>
          <w:szCs w:val="24"/>
          <w:lang w:val="fr-CA"/>
        </w:rPr>
      </w:pPr>
      <w:r w:rsidRPr="008615BE">
        <w:rPr>
          <w:rFonts w:ascii="Arial" w:hAnsi="Arial" w:cs="Arial"/>
          <w:sz w:val="24"/>
          <w:szCs w:val="24"/>
          <w:lang w:val="fr-CA"/>
        </w:rPr>
        <w:t>commissions portuaires, entreprises de manutention et autres.</w:t>
      </w:r>
    </w:p>
    <w:p w14:paraId="185D127F" w14:textId="7DA257F3" w:rsidR="00D50802" w:rsidRPr="005D793C" w:rsidRDefault="00D50802" w:rsidP="005D793C">
      <w:pPr>
        <w:pStyle w:val="Heading4"/>
      </w:pPr>
      <w:r w:rsidRPr="005D793C">
        <w:rPr>
          <w:rStyle w:val="Heading4Char"/>
        </w:rPr>
        <w:t>Entrepôts</w:t>
      </w:r>
      <w:r w:rsidRPr="005D793C">
        <w:t xml:space="preserve"> d’attente aériens</w:t>
      </w:r>
    </w:p>
    <w:p w14:paraId="5F7695C2" w14:textId="77777777" w:rsidR="00D50802" w:rsidRDefault="008615BE" w:rsidP="008615BE">
      <w:pPr>
        <w:pStyle w:val="ListParagraph"/>
        <w:numPr>
          <w:ilvl w:val="0"/>
          <w:numId w:val="3"/>
        </w:numPr>
        <w:contextualSpacing w:val="0"/>
        <w:rPr>
          <w:rFonts w:cs="Arial"/>
          <w:szCs w:val="24"/>
        </w:rPr>
      </w:pPr>
      <w:r w:rsidRPr="00D50802">
        <w:rPr>
          <w:rFonts w:cs="Arial"/>
          <w:szCs w:val="24"/>
        </w:rPr>
        <w:t xml:space="preserve">Les transporteurs aériens doivent demander à exploiter un entrepôt d’attente de catégorie AA pour recevoir des marchandises diverses arrivant par la voie aérienne si </w:t>
      </w:r>
      <w:r w:rsidRPr="00D50802">
        <w:rPr>
          <w:rFonts w:cs="Arial"/>
          <w:szCs w:val="24"/>
        </w:rPr>
        <w:lastRenderedPageBreak/>
        <w:t>l’installation se trouve sur la propriété d’un aéroport et si l’ASFC offre le service pour recevoir les expéditions commerciales à l’aéroport.</w:t>
      </w:r>
    </w:p>
    <w:p w14:paraId="62A1F29B" w14:textId="0CB106E8" w:rsidR="00D50802" w:rsidRPr="005D793C" w:rsidRDefault="00D50802" w:rsidP="005D793C">
      <w:pPr>
        <w:pStyle w:val="Heading4"/>
      </w:pPr>
      <w:r w:rsidRPr="005D793C">
        <w:t>Entrepôts des manutentionnaires de fret</w:t>
      </w:r>
    </w:p>
    <w:p w14:paraId="04E1D348" w14:textId="77777777" w:rsidR="00D50802" w:rsidRDefault="008615BE" w:rsidP="008615BE">
      <w:pPr>
        <w:pStyle w:val="ListParagraph"/>
        <w:numPr>
          <w:ilvl w:val="0"/>
          <w:numId w:val="3"/>
        </w:numPr>
        <w:contextualSpacing w:val="0"/>
        <w:rPr>
          <w:rFonts w:cs="Arial"/>
          <w:szCs w:val="24"/>
        </w:rPr>
      </w:pPr>
      <w:r w:rsidRPr="00D50802">
        <w:rPr>
          <w:rFonts w:cs="Arial"/>
          <w:szCs w:val="24"/>
        </w:rPr>
        <w:t>Certains transporteurs passent un contrat avec un manutentionnaire de fret pour le traitement des marchandises qu’ils importent. Dans ce cas, le manutentionnaire de fret est assujetti aux mêmes règles et règlements que le transporteur.</w:t>
      </w:r>
    </w:p>
    <w:p w14:paraId="4CEC6B0C" w14:textId="4C276E06" w:rsidR="00D50802" w:rsidRDefault="008615BE" w:rsidP="008615BE">
      <w:pPr>
        <w:pStyle w:val="ListParagraph"/>
        <w:numPr>
          <w:ilvl w:val="0"/>
          <w:numId w:val="3"/>
        </w:numPr>
        <w:contextualSpacing w:val="0"/>
        <w:rPr>
          <w:rFonts w:cs="Arial"/>
          <w:szCs w:val="24"/>
        </w:rPr>
      </w:pPr>
      <w:r w:rsidRPr="00D50802">
        <w:rPr>
          <w:rFonts w:cs="Arial"/>
          <w:szCs w:val="24"/>
        </w:rPr>
        <w:t>Un manutentionnaire de fret doit respecter les conditions suivantes pour recevoir l’autorisation d’exploiter un entrepôt d’attente de catégorie AH</w:t>
      </w:r>
      <w:r w:rsidR="00201214">
        <w:rPr>
          <w:rFonts w:cs="Arial"/>
          <w:szCs w:val="24"/>
        </w:rPr>
        <w:t> </w:t>
      </w:r>
      <w:r w:rsidRPr="00D50802">
        <w:rPr>
          <w:rFonts w:cs="Arial"/>
          <w:szCs w:val="24"/>
        </w:rPr>
        <w:t>:</w:t>
      </w:r>
    </w:p>
    <w:p w14:paraId="22F54DA6" w14:textId="77777777" w:rsidR="00D50802" w:rsidRDefault="008615BE" w:rsidP="008615BE">
      <w:pPr>
        <w:pStyle w:val="ListParagraph"/>
        <w:numPr>
          <w:ilvl w:val="1"/>
          <w:numId w:val="3"/>
        </w:numPr>
        <w:contextualSpacing w:val="0"/>
        <w:rPr>
          <w:rFonts w:cs="Arial"/>
          <w:szCs w:val="24"/>
        </w:rPr>
      </w:pPr>
      <w:r w:rsidRPr="00D50802">
        <w:rPr>
          <w:rFonts w:cs="Arial"/>
          <w:szCs w:val="24"/>
        </w:rPr>
        <w:t>le manutentionnaire de fret doit agir à titre de mandataire exclusif du transporteur. En d’autres termes, il est le seul manutentionnaire de fret de ce transporteur à l’intérieur du secteur relevant du bureau de l’ASFC;</w:t>
      </w:r>
    </w:p>
    <w:p w14:paraId="1CA70BB6" w14:textId="44B84B0D" w:rsidR="00D50802" w:rsidRDefault="008615BE" w:rsidP="008615BE">
      <w:pPr>
        <w:pStyle w:val="ListParagraph"/>
        <w:numPr>
          <w:ilvl w:val="1"/>
          <w:numId w:val="3"/>
        </w:numPr>
        <w:contextualSpacing w:val="0"/>
        <w:rPr>
          <w:rFonts w:cs="Arial"/>
          <w:szCs w:val="24"/>
        </w:rPr>
      </w:pPr>
      <w:r w:rsidRPr="00D50802">
        <w:rPr>
          <w:rFonts w:cs="Arial"/>
          <w:szCs w:val="24"/>
        </w:rPr>
        <w:t>une copie du contrat de manutention de fret contenant les renseignements précisés à l’</w:t>
      </w:r>
      <w:hyperlink w:anchor="_Annexe_A_-" w:history="1">
        <w:r w:rsidRPr="00A158AB">
          <w:rPr>
            <w:rStyle w:val="Hyperlink"/>
            <w:rFonts w:cs="Arial"/>
            <w:szCs w:val="24"/>
          </w:rPr>
          <w:t>annexe A</w:t>
        </w:r>
      </w:hyperlink>
      <w:r w:rsidRPr="00D50802">
        <w:rPr>
          <w:rFonts w:cs="Arial"/>
          <w:szCs w:val="24"/>
        </w:rPr>
        <w:t xml:space="preserve"> </w:t>
      </w:r>
      <w:proofErr w:type="spellStart"/>
      <w:r w:rsidRPr="00D50802">
        <w:rPr>
          <w:rFonts w:cs="Arial"/>
          <w:szCs w:val="24"/>
        </w:rPr>
        <w:t>accompagne</w:t>
      </w:r>
      <w:proofErr w:type="spellEnd"/>
      <w:r w:rsidRPr="00D50802">
        <w:rPr>
          <w:rFonts w:cs="Arial"/>
          <w:szCs w:val="24"/>
        </w:rPr>
        <w:t xml:space="preserve"> la demande présentée à l’ASFC;</w:t>
      </w:r>
    </w:p>
    <w:p w14:paraId="7C4BA221" w14:textId="70BDC63F" w:rsidR="00D50802" w:rsidRDefault="008615BE" w:rsidP="008615BE">
      <w:pPr>
        <w:pStyle w:val="ListParagraph"/>
        <w:numPr>
          <w:ilvl w:val="1"/>
          <w:numId w:val="3"/>
        </w:numPr>
        <w:contextualSpacing w:val="0"/>
        <w:rPr>
          <w:rFonts w:cs="Arial"/>
          <w:szCs w:val="24"/>
        </w:rPr>
      </w:pPr>
      <w:r w:rsidRPr="00D50802">
        <w:rPr>
          <w:rFonts w:cs="Arial"/>
          <w:szCs w:val="24"/>
        </w:rPr>
        <w:t>le manutentionnaire de fret est le propriétaire ou le locataire de l’installation d’entreposage. Si cette installation est louée, l’ASFC peut demander une copie du bail;</w:t>
      </w:r>
    </w:p>
    <w:p w14:paraId="18166B13" w14:textId="3B6B5B0B" w:rsidR="00D50802" w:rsidRDefault="008615BE" w:rsidP="008615BE">
      <w:pPr>
        <w:pStyle w:val="ListParagraph"/>
        <w:numPr>
          <w:ilvl w:val="1"/>
          <w:numId w:val="3"/>
        </w:numPr>
        <w:contextualSpacing w:val="0"/>
        <w:rPr>
          <w:rFonts w:cs="Arial"/>
          <w:szCs w:val="24"/>
        </w:rPr>
      </w:pPr>
      <w:r w:rsidRPr="00D50802">
        <w:rPr>
          <w:rFonts w:cs="Arial"/>
          <w:szCs w:val="24"/>
        </w:rPr>
        <w:t xml:space="preserve">lorsque les expéditions acheminées par le transporteur sont destinées à des </w:t>
      </w:r>
      <w:proofErr w:type="spellStart"/>
      <w:r w:rsidRPr="00D50802">
        <w:rPr>
          <w:rFonts w:cs="Arial"/>
          <w:szCs w:val="24"/>
        </w:rPr>
        <w:t>dégroupeurs</w:t>
      </w:r>
      <w:proofErr w:type="spellEnd"/>
      <w:r w:rsidRPr="00D50802">
        <w:rPr>
          <w:rFonts w:cs="Arial"/>
          <w:szCs w:val="24"/>
        </w:rPr>
        <w:t xml:space="preserve"> ou des </w:t>
      </w:r>
      <w:r w:rsidR="00201214">
        <w:rPr>
          <w:rFonts w:cs="Arial"/>
          <w:szCs w:val="24"/>
        </w:rPr>
        <w:t>agents d’expédition</w:t>
      </w:r>
      <w:r w:rsidRPr="00D50802">
        <w:rPr>
          <w:rFonts w:cs="Arial"/>
          <w:szCs w:val="24"/>
        </w:rPr>
        <w:t>, le transfert se fait par l’intermédiaire de l’entrepôt du manutentionnaire de fret.</w:t>
      </w:r>
    </w:p>
    <w:p w14:paraId="17E53448" w14:textId="77777777" w:rsidR="00D50802" w:rsidRDefault="008615BE" w:rsidP="008615BE">
      <w:pPr>
        <w:pStyle w:val="ListParagraph"/>
        <w:numPr>
          <w:ilvl w:val="0"/>
          <w:numId w:val="3"/>
        </w:numPr>
        <w:contextualSpacing w:val="0"/>
        <w:rPr>
          <w:rFonts w:cs="Arial"/>
          <w:szCs w:val="24"/>
        </w:rPr>
      </w:pPr>
      <w:r w:rsidRPr="00D50802">
        <w:rPr>
          <w:rFonts w:cs="Arial"/>
          <w:szCs w:val="24"/>
        </w:rPr>
        <w:t xml:space="preserve">Les manutentionnaires de fret ne peuvent agir à titre de groupeur, de </w:t>
      </w:r>
      <w:proofErr w:type="spellStart"/>
      <w:r w:rsidRPr="00D50802">
        <w:rPr>
          <w:rFonts w:cs="Arial"/>
          <w:szCs w:val="24"/>
        </w:rPr>
        <w:t>dégroupeur</w:t>
      </w:r>
      <w:proofErr w:type="spellEnd"/>
      <w:r w:rsidRPr="00D50802">
        <w:rPr>
          <w:rFonts w:cs="Arial"/>
          <w:szCs w:val="24"/>
        </w:rPr>
        <w:t xml:space="preserve"> ou d’agent d’expédition, mais ils peuvent fournir des services de manutention de fret au nom de ces personnes s’ils ont une entente écrite avec elles à cet égard. Ils devront présenter une copie de cette entente à l’ASFC, sur demande.</w:t>
      </w:r>
    </w:p>
    <w:p w14:paraId="0C5246C0" w14:textId="77777777" w:rsidR="00D50802" w:rsidRDefault="008615BE" w:rsidP="008615BE">
      <w:pPr>
        <w:pStyle w:val="ListParagraph"/>
        <w:numPr>
          <w:ilvl w:val="0"/>
          <w:numId w:val="3"/>
        </w:numPr>
        <w:contextualSpacing w:val="0"/>
        <w:rPr>
          <w:rFonts w:cs="Arial"/>
          <w:szCs w:val="24"/>
        </w:rPr>
      </w:pPr>
      <w:r w:rsidRPr="00D50802">
        <w:rPr>
          <w:rFonts w:cs="Arial"/>
          <w:szCs w:val="24"/>
        </w:rPr>
        <w:t>L’ASFC doit recevoir un exemplaire de toutes les modifications apportées au contrat de manutention de fret, ainsi qu’une confirmation de renouvellement de ce contrat, s’il y a lieu.</w:t>
      </w:r>
    </w:p>
    <w:p w14:paraId="02812050" w14:textId="20908E17" w:rsidR="00D50802" w:rsidRDefault="008615BE" w:rsidP="008615BE">
      <w:pPr>
        <w:pStyle w:val="ListParagraph"/>
        <w:numPr>
          <w:ilvl w:val="0"/>
          <w:numId w:val="3"/>
        </w:numPr>
        <w:contextualSpacing w:val="0"/>
        <w:rPr>
          <w:rFonts w:cs="Arial"/>
          <w:szCs w:val="24"/>
        </w:rPr>
      </w:pPr>
      <w:r w:rsidRPr="00D50802">
        <w:rPr>
          <w:rFonts w:cs="Arial"/>
          <w:szCs w:val="24"/>
        </w:rPr>
        <w:lastRenderedPageBreak/>
        <w:t xml:space="preserve">Lorsqu’un contrat prend fin, le manutentionnaire de fret doit aviser l’ASFC par écrit, car, sans contrat de manutention de fret avec un transporteur, l’agrément octroyé pour </w:t>
      </w:r>
      <w:r w:rsidR="00E62CF1">
        <w:rPr>
          <w:rFonts w:cs="Arial"/>
          <w:szCs w:val="24"/>
        </w:rPr>
        <w:t>exploiter</w:t>
      </w:r>
      <w:r w:rsidRPr="00D50802">
        <w:rPr>
          <w:rFonts w:cs="Arial"/>
          <w:szCs w:val="24"/>
        </w:rPr>
        <w:t xml:space="preserve"> l’entrepôt d’attente peut être annulé.</w:t>
      </w:r>
    </w:p>
    <w:p w14:paraId="48F3B30A" w14:textId="21B958E1" w:rsidR="00D50802" w:rsidRPr="00D50802" w:rsidRDefault="00D50802" w:rsidP="005D793C">
      <w:pPr>
        <w:pStyle w:val="Heading4"/>
      </w:pPr>
      <w:r w:rsidRPr="008615BE">
        <w:t>Entrepôts d’attente maritimes</w:t>
      </w:r>
    </w:p>
    <w:p w14:paraId="56C59439" w14:textId="09FE13C1" w:rsidR="00D50802" w:rsidRDefault="008615BE" w:rsidP="008615BE">
      <w:pPr>
        <w:pStyle w:val="ListParagraph"/>
        <w:numPr>
          <w:ilvl w:val="0"/>
          <w:numId w:val="3"/>
        </w:numPr>
        <w:contextualSpacing w:val="0"/>
        <w:rPr>
          <w:rFonts w:cs="Arial"/>
          <w:szCs w:val="24"/>
        </w:rPr>
      </w:pPr>
      <w:r w:rsidRPr="00D50802">
        <w:rPr>
          <w:rFonts w:cs="Arial"/>
          <w:szCs w:val="24"/>
        </w:rPr>
        <w:t>Les navires transportant des marchandises conteneurisées d’outre-mer, destinées à être déchargées n’importe où au Canada, doivent d’abord se présenter à l’un des terminaux à conteneurs désignés comme premier point d’</w:t>
      </w:r>
      <w:r w:rsidR="00354C9A">
        <w:rPr>
          <w:rFonts w:cs="Arial"/>
          <w:szCs w:val="24"/>
        </w:rPr>
        <w:t>arrivée</w:t>
      </w:r>
      <w:r w:rsidRPr="00D50802">
        <w:rPr>
          <w:rFonts w:cs="Arial"/>
          <w:szCs w:val="24"/>
        </w:rPr>
        <w:t xml:space="preserve"> (PPA) du Canada pour le déchargement des conteneurs en vue du contrôle. Les PPA désignés du Canada sont munis de portiques de détection des radiations en vue du contrôle de tous les conteneurs d’outre-mer relativement aux préoccupations en matière de santé et de sécurité. Tous les navires d’outre-mer transportant des marchandises conteneurisées, à moins d’en être expressément exemptés en vertu de l’Initiative sur la sécurité des conteneurs, doivent d’abord se présenter à un PPA. Les conteneurs maritimes destinés à un NAV/C différent au Canada à titre de port de déchargement final peuvent être rechargés et poursuivre leur route jusqu’à leur destination après le contrôle relatif à la santé et à la sécurité au PPA.</w:t>
      </w:r>
    </w:p>
    <w:p w14:paraId="0AB6EDF0" w14:textId="6D41C1F7" w:rsidR="00D50802" w:rsidRPr="00D50802" w:rsidRDefault="00D50802" w:rsidP="005D793C">
      <w:pPr>
        <w:pStyle w:val="Heading4"/>
      </w:pPr>
      <w:r w:rsidRPr="00D50802">
        <w:t>Entrepôts d’attente ferroviaires</w:t>
      </w:r>
    </w:p>
    <w:p w14:paraId="62ACBEAC" w14:textId="3C5D599A" w:rsidR="00D50802" w:rsidRDefault="008615BE" w:rsidP="008615BE">
      <w:pPr>
        <w:pStyle w:val="ListParagraph"/>
        <w:numPr>
          <w:ilvl w:val="0"/>
          <w:numId w:val="3"/>
        </w:numPr>
        <w:contextualSpacing w:val="0"/>
        <w:rPr>
          <w:rFonts w:cs="Arial"/>
          <w:szCs w:val="24"/>
        </w:rPr>
      </w:pPr>
      <w:r w:rsidRPr="00D50802">
        <w:rPr>
          <w:rFonts w:cs="Arial"/>
          <w:szCs w:val="24"/>
        </w:rPr>
        <w:t xml:space="preserve">Les transporteurs ferroviaires doivent présenter une demande d’agrément </w:t>
      </w:r>
      <w:r w:rsidR="009A310F">
        <w:rPr>
          <w:rFonts w:cs="Arial"/>
          <w:szCs w:val="24"/>
        </w:rPr>
        <w:t>d’</w:t>
      </w:r>
      <w:r w:rsidRPr="00D50802">
        <w:rPr>
          <w:rFonts w:cs="Arial"/>
          <w:szCs w:val="24"/>
        </w:rPr>
        <w:t xml:space="preserve">exploitation d’un entrepôt d’attente ferroviaire de catégorie AR pour chaque </w:t>
      </w:r>
      <w:r w:rsidR="00093B20">
        <w:rPr>
          <w:rFonts w:cs="Arial"/>
          <w:szCs w:val="24"/>
        </w:rPr>
        <w:t>gare</w:t>
      </w:r>
      <w:r w:rsidRPr="00D50802">
        <w:rPr>
          <w:rFonts w:cs="Arial"/>
          <w:szCs w:val="24"/>
        </w:rPr>
        <w:t xml:space="preserve"> de triage de l’entreprise, à l’intérieur du secteur d’un bureau de l’ASFC où sont retenus des véhicules contenant des marchandises importées qui n’ont pas reçu la mainlevée de l’ASFC. Certaines voies de la </w:t>
      </w:r>
      <w:r w:rsidR="00093B20">
        <w:rPr>
          <w:rFonts w:cs="Arial"/>
          <w:szCs w:val="24"/>
        </w:rPr>
        <w:t>gare</w:t>
      </w:r>
      <w:r w:rsidRPr="00D50802">
        <w:rPr>
          <w:rFonts w:cs="Arial"/>
          <w:szCs w:val="24"/>
        </w:rPr>
        <w:t xml:space="preserve"> peuvent être désignées à cette fin.</w:t>
      </w:r>
    </w:p>
    <w:p w14:paraId="27CD0621" w14:textId="003E2F09" w:rsidR="00D50802" w:rsidRDefault="008615BE" w:rsidP="008615BE">
      <w:pPr>
        <w:pStyle w:val="ListParagraph"/>
        <w:numPr>
          <w:ilvl w:val="0"/>
          <w:numId w:val="3"/>
        </w:numPr>
        <w:contextualSpacing w:val="0"/>
        <w:rPr>
          <w:rFonts w:cs="Arial"/>
          <w:szCs w:val="24"/>
        </w:rPr>
      </w:pPr>
      <w:r w:rsidRPr="00D50802">
        <w:rPr>
          <w:rFonts w:cs="Arial"/>
          <w:szCs w:val="24"/>
        </w:rPr>
        <w:t xml:space="preserve">Lorsqu’il n’y a pas d’installation d’entreposage à l’intérieur de la </w:t>
      </w:r>
      <w:r w:rsidR="00093B20">
        <w:rPr>
          <w:rFonts w:cs="Arial"/>
          <w:szCs w:val="24"/>
        </w:rPr>
        <w:t>gare</w:t>
      </w:r>
      <w:r w:rsidRPr="00D50802">
        <w:rPr>
          <w:rFonts w:cs="Arial"/>
          <w:szCs w:val="24"/>
        </w:rPr>
        <w:t xml:space="preserve"> de triage, l’ASFC peut demander que le transporteur ferroviaire transfère toute expédition qui doit être examinée à un endroit convenable désigné à cette fin, ou à un entrepôt d’attente s’il n’y a pas d’endroit approprié à l’intérieur de la </w:t>
      </w:r>
      <w:r w:rsidR="00093B20">
        <w:rPr>
          <w:rFonts w:cs="Arial"/>
          <w:szCs w:val="24"/>
        </w:rPr>
        <w:t>gare</w:t>
      </w:r>
      <w:r w:rsidRPr="00D50802">
        <w:rPr>
          <w:rFonts w:cs="Arial"/>
          <w:szCs w:val="24"/>
        </w:rPr>
        <w:t>.</w:t>
      </w:r>
      <w:bookmarkStart w:id="121" w:name="_bookmark39"/>
      <w:bookmarkStart w:id="122" w:name="SufferanceWarehouseRequirements"/>
      <w:bookmarkEnd w:id="121"/>
      <w:bookmarkEnd w:id="122"/>
    </w:p>
    <w:p w14:paraId="2A97BDED" w14:textId="6C9F2669" w:rsidR="00D50802" w:rsidRPr="00D50802" w:rsidRDefault="005D793C" w:rsidP="005D793C">
      <w:pPr>
        <w:pStyle w:val="Heading4"/>
        <w:rPr>
          <w:szCs w:val="32"/>
        </w:rPr>
      </w:pPr>
      <w:bookmarkStart w:id="123" w:name="_Hlk214012989"/>
      <w:r w:rsidRPr="005D793C">
        <w:rPr>
          <w:bCs/>
        </w:rPr>
        <w:t>Catégorie </w:t>
      </w:r>
      <w:r>
        <w:rPr>
          <w:bCs/>
        </w:rPr>
        <w:t xml:space="preserve">A </w:t>
      </w:r>
      <w:r w:rsidR="00900F37">
        <w:rPr>
          <w:bCs/>
        </w:rPr>
        <w:t>–</w:t>
      </w:r>
      <w:r>
        <w:rPr>
          <w:bCs/>
        </w:rPr>
        <w:t xml:space="preserve"> </w:t>
      </w:r>
      <w:r w:rsidR="002D2362">
        <w:rPr>
          <w:bCs/>
        </w:rPr>
        <w:t>e</w:t>
      </w:r>
      <w:r w:rsidR="00D50802" w:rsidRPr="005D793C">
        <w:rPr>
          <w:bCs/>
        </w:rPr>
        <w:t>xigences</w:t>
      </w:r>
      <w:r w:rsidR="00D50802" w:rsidRPr="008615BE">
        <w:t xml:space="preserve"> et restrictions relatives aux entrepôts d’attente</w:t>
      </w:r>
    </w:p>
    <w:bookmarkEnd w:id="123"/>
    <w:p w14:paraId="463082BE" w14:textId="3091888D" w:rsidR="00D50802" w:rsidRDefault="007F4529" w:rsidP="008615BE">
      <w:pPr>
        <w:pStyle w:val="ListParagraph"/>
        <w:numPr>
          <w:ilvl w:val="0"/>
          <w:numId w:val="3"/>
        </w:numPr>
        <w:contextualSpacing w:val="0"/>
        <w:rPr>
          <w:rFonts w:cs="Arial"/>
          <w:szCs w:val="24"/>
        </w:rPr>
      </w:pPr>
      <w:r>
        <w:rPr>
          <w:rFonts w:cs="Arial"/>
          <w:szCs w:val="24"/>
        </w:rPr>
        <w:t>L</w:t>
      </w:r>
      <w:r w:rsidR="008615BE" w:rsidRPr="00D50802">
        <w:rPr>
          <w:rFonts w:cs="Arial"/>
          <w:szCs w:val="24"/>
        </w:rPr>
        <w:t>es exigences et les restrictions relatives à l’exploitation d’entrepôts de catégories AA, AM, AR, AH et AW</w:t>
      </w:r>
      <w:r>
        <w:rPr>
          <w:rFonts w:cs="Arial"/>
          <w:szCs w:val="24"/>
        </w:rPr>
        <w:t xml:space="preserve"> sont les suivantes</w:t>
      </w:r>
      <w:r w:rsidR="008615BE" w:rsidRPr="00D50802">
        <w:rPr>
          <w:rFonts w:cs="Arial"/>
          <w:szCs w:val="24"/>
        </w:rPr>
        <w:t> :</w:t>
      </w:r>
    </w:p>
    <w:p w14:paraId="77891596" w14:textId="77777777" w:rsidR="00D50802" w:rsidRDefault="008615BE" w:rsidP="008615BE">
      <w:pPr>
        <w:pStyle w:val="ListParagraph"/>
        <w:numPr>
          <w:ilvl w:val="1"/>
          <w:numId w:val="3"/>
        </w:numPr>
        <w:contextualSpacing w:val="0"/>
        <w:rPr>
          <w:rFonts w:cs="Arial"/>
          <w:szCs w:val="24"/>
        </w:rPr>
      </w:pPr>
      <w:r w:rsidRPr="00D50802">
        <w:rPr>
          <w:rFonts w:cs="Arial"/>
          <w:szCs w:val="24"/>
        </w:rPr>
        <w:lastRenderedPageBreak/>
        <w:t>Catégorie d’entrepôt : AA</w:t>
      </w:r>
    </w:p>
    <w:p w14:paraId="2BD9DC8B" w14:textId="77777777" w:rsidR="00D50802" w:rsidRPr="00D50802" w:rsidRDefault="00D50802" w:rsidP="00D50802">
      <w:pPr>
        <w:pStyle w:val="ListParagraph"/>
        <w:spacing w:after="0"/>
        <w:ind w:left="1440"/>
        <w:contextualSpacing w:val="0"/>
        <w:rPr>
          <w:rFonts w:cs="Arial"/>
          <w:szCs w:val="24"/>
        </w:rPr>
      </w:pPr>
      <w:r w:rsidRPr="00D50802">
        <w:rPr>
          <w:rFonts w:cs="Arial"/>
          <w:szCs w:val="24"/>
        </w:rPr>
        <w:t>Exigences de livraison : livraison directe autorisée</w:t>
      </w:r>
    </w:p>
    <w:p w14:paraId="5FEE8CD9"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marchandises diverses</w:t>
      </w:r>
    </w:p>
    <w:p w14:paraId="1AC4C415" w14:textId="5A305B91"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Mode : aérien, ferroviaire (exportation seulement), maritime (exportation seulement),</w:t>
      </w:r>
      <w:r w:rsidR="007F4529">
        <w:rPr>
          <w:rFonts w:ascii="Arial" w:hAnsi="Arial" w:cs="Arial"/>
          <w:sz w:val="24"/>
          <w:szCs w:val="24"/>
          <w:lang w:val="fr-CA"/>
        </w:rPr>
        <w:t xml:space="preserve"> </w:t>
      </w:r>
      <w:r w:rsidRPr="008615BE">
        <w:rPr>
          <w:rFonts w:ascii="Arial" w:hAnsi="Arial" w:cs="Arial"/>
          <w:sz w:val="24"/>
          <w:szCs w:val="24"/>
          <w:lang w:val="fr-CA"/>
        </w:rPr>
        <w:t>routier (exportation seulement)</w:t>
      </w:r>
    </w:p>
    <w:p w14:paraId="09A30AC9"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non</w:t>
      </w:r>
    </w:p>
    <w:p w14:paraId="4EE17A7D" w14:textId="6D39835F"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3B24F377"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w:t>
      </w:r>
    </w:p>
    <w:p w14:paraId="139CDED8" w14:textId="0463C760"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Autorité déléguée </w:t>
      </w:r>
      <w:r w:rsidR="004A2406">
        <w:rPr>
          <w:rFonts w:ascii="Arial" w:hAnsi="Arial" w:cs="Arial"/>
          <w:sz w:val="24"/>
          <w:szCs w:val="24"/>
          <w:lang w:val="fr-CA"/>
        </w:rPr>
        <w:t>d’agrément</w:t>
      </w:r>
      <w:r w:rsidRPr="008615BE">
        <w:rPr>
          <w:rFonts w:ascii="Arial" w:hAnsi="Arial" w:cs="Arial"/>
          <w:sz w:val="24"/>
          <w:szCs w:val="24"/>
          <w:lang w:val="fr-CA"/>
        </w:rPr>
        <w:t> : région</w:t>
      </w:r>
    </w:p>
    <w:p w14:paraId="72F9280D" w14:textId="05E6D0E8" w:rsidR="00D50802" w:rsidRPr="00D50802"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Autres restrictions : sur place à l’aéroport</w:t>
      </w:r>
    </w:p>
    <w:p w14:paraId="584CD4C1" w14:textId="77777777" w:rsidR="00D50802" w:rsidRDefault="008615BE" w:rsidP="00D50802">
      <w:pPr>
        <w:pStyle w:val="ListParagraph"/>
        <w:numPr>
          <w:ilvl w:val="1"/>
          <w:numId w:val="3"/>
        </w:numPr>
        <w:spacing w:before="240"/>
        <w:contextualSpacing w:val="0"/>
        <w:rPr>
          <w:rFonts w:cs="Arial"/>
          <w:szCs w:val="24"/>
        </w:rPr>
      </w:pPr>
      <w:r w:rsidRPr="00D50802">
        <w:rPr>
          <w:rFonts w:cs="Arial"/>
          <w:szCs w:val="24"/>
        </w:rPr>
        <w:t>Catégorie d’entrepôt : AM</w:t>
      </w:r>
    </w:p>
    <w:p w14:paraId="59FAAE28"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00F80B87"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marchandises diverses</w:t>
      </w:r>
    </w:p>
    <w:p w14:paraId="46DEE919"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Mode : maritime, aérien (exportation seulement), ferroviaire (exportation seulement), routier (exportation seulement)</w:t>
      </w:r>
    </w:p>
    <w:p w14:paraId="70A1409E"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non</w:t>
      </w:r>
    </w:p>
    <w:p w14:paraId="7538DF36" w14:textId="5271D37D"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21D81786"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w:t>
      </w:r>
    </w:p>
    <w:p w14:paraId="7A0B41B9" w14:textId="02E456A4"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Autorité déléguée </w:t>
      </w:r>
      <w:r w:rsidR="00401F44">
        <w:rPr>
          <w:rFonts w:ascii="Arial" w:hAnsi="Arial" w:cs="Arial"/>
          <w:sz w:val="24"/>
          <w:szCs w:val="24"/>
          <w:lang w:val="fr-CA"/>
        </w:rPr>
        <w:t>d’agrément</w:t>
      </w:r>
      <w:r w:rsidRPr="008615BE">
        <w:rPr>
          <w:rFonts w:ascii="Arial" w:hAnsi="Arial" w:cs="Arial"/>
          <w:sz w:val="24"/>
          <w:szCs w:val="24"/>
          <w:lang w:val="fr-CA"/>
        </w:rPr>
        <w:t> : région</w:t>
      </w:r>
    </w:p>
    <w:p w14:paraId="6999F776" w14:textId="3DC7B66E" w:rsidR="00D50802" w:rsidRPr="00D50802"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Autres restrictions : les conteneurs entreposés pour l’exportation doivent être intacts</w:t>
      </w:r>
    </w:p>
    <w:p w14:paraId="4764BFE7" w14:textId="77777777" w:rsidR="00D50802" w:rsidRDefault="008615BE" w:rsidP="008615BE">
      <w:pPr>
        <w:pStyle w:val="ListParagraph"/>
        <w:numPr>
          <w:ilvl w:val="1"/>
          <w:numId w:val="3"/>
        </w:numPr>
        <w:spacing w:before="240"/>
        <w:contextualSpacing w:val="0"/>
        <w:rPr>
          <w:rFonts w:cs="Arial"/>
          <w:szCs w:val="24"/>
        </w:rPr>
      </w:pPr>
      <w:r w:rsidRPr="00D50802">
        <w:rPr>
          <w:rFonts w:cs="Arial"/>
          <w:szCs w:val="24"/>
        </w:rPr>
        <w:t>Catégorie d’entrepôt : AR</w:t>
      </w:r>
    </w:p>
    <w:p w14:paraId="6C21E9D0"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6C13BEDB"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marchandises diverses</w:t>
      </w:r>
    </w:p>
    <w:p w14:paraId="4C8DBFC9" w14:textId="0CDC7DDD"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Mode</w:t>
      </w:r>
      <w:r w:rsidR="00401F44">
        <w:rPr>
          <w:rFonts w:ascii="Arial" w:hAnsi="Arial" w:cs="Arial"/>
          <w:sz w:val="24"/>
          <w:szCs w:val="24"/>
          <w:lang w:val="fr-CA"/>
        </w:rPr>
        <w:t> </w:t>
      </w:r>
      <w:r w:rsidRPr="008615BE">
        <w:rPr>
          <w:rFonts w:ascii="Arial" w:hAnsi="Arial" w:cs="Arial"/>
          <w:sz w:val="24"/>
          <w:szCs w:val="24"/>
          <w:lang w:val="fr-CA"/>
        </w:rPr>
        <w:t>: aérien, ferroviaire, maritime, routier</w:t>
      </w:r>
    </w:p>
    <w:p w14:paraId="75034EF8"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non</w:t>
      </w:r>
    </w:p>
    <w:p w14:paraId="1AF96ED7" w14:textId="73CB458A"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6E1DF390"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 à la discrétion de la région</w:t>
      </w:r>
    </w:p>
    <w:p w14:paraId="7A231422" w14:textId="01D5482E" w:rsidR="00D50802" w:rsidRPr="00D50802"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Autorité déléguée </w:t>
      </w:r>
      <w:r w:rsidR="00401F44">
        <w:rPr>
          <w:rFonts w:ascii="Arial" w:hAnsi="Arial" w:cs="Arial"/>
          <w:sz w:val="24"/>
          <w:szCs w:val="24"/>
          <w:lang w:val="fr-CA"/>
        </w:rPr>
        <w:t>d’agrément</w:t>
      </w:r>
      <w:r w:rsidRPr="008615BE">
        <w:rPr>
          <w:rFonts w:ascii="Arial" w:hAnsi="Arial" w:cs="Arial"/>
          <w:sz w:val="24"/>
          <w:szCs w:val="24"/>
          <w:lang w:val="fr-CA"/>
        </w:rPr>
        <w:t> : région</w:t>
      </w:r>
    </w:p>
    <w:p w14:paraId="6E99CFFF" w14:textId="77777777" w:rsidR="00D50802" w:rsidRDefault="008615BE" w:rsidP="008615BE">
      <w:pPr>
        <w:pStyle w:val="ListParagraph"/>
        <w:numPr>
          <w:ilvl w:val="1"/>
          <w:numId w:val="3"/>
        </w:numPr>
        <w:spacing w:before="240"/>
        <w:contextualSpacing w:val="0"/>
        <w:rPr>
          <w:rFonts w:cs="Arial"/>
          <w:szCs w:val="24"/>
        </w:rPr>
      </w:pPr>
      <w:r w:rsidRPr="00D50802">
        <w:rPr>
          <w:rFonts w:cs="Arial"/>
          <w:szCs w:val="24"/>
        </w:rPr>
        <w:t>Catégorie d’entrepôt : AH</w:t>
      </w:r>
    </w:p>
    <w:p w14:paraId="2D3C7632"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038F2872"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lastRenderedPageBreak/>
        <w:t>Type de marchandises : marchandises diverses</w:t>
      </w:r>
    </w:p>
    <w:p w14:paraId="260F4D72" w14:textId="77CCCDB8"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Mode</w:t>
      </w:r>
      <w:r w:rsidR="00401F44">
        <w:rPr>
          <w:rFonts w:ascii="Arial" w:hAnsi="Arial" w:cs="Arial"/>
          <w:sz w:val="24"/>
          <w:szCs w:val="24"/>
          <w:lang w:val="fr-CA"/>
        </w:rPr>
        <w:t> </w:t>
      </w:r>
      <w:r w:rsidRPr="008615BE">
        <w:rPr>
          <w:rFonts w:ascii="Arial" w:hAnsi="Arial" w:cs="Arial"/>
          <w:sz w:val="24"/>
          <w:szCs w:val="24"/>
          <w:lang w:val="fr-CA"/>
        </w:rPr>
        <w:t xml:space="preserve">: aérien, ferroviaire (exportation seulement), maritime (exportation seulement), routier (exportation </w:t>
      </w:r>
      <w:r w:rsidR="00895F56">
        <w:rPr>
          <w:rFonts w:ascii="Arial" w:hAnsi="Arial" w:cs="Arial"/>
          <w:sz w:val="24"/>
          <w:szCs w:val="24"/>
          <w:lang w:val="fr-CA"/>
        </w:rPr>
        <w:t>seulement</w:t>
      </w:r>
      <w:r w:rsidRPr="008615BE">
        <w:rPr>
          <w:rFonts w:ascii="Arial" w:hAnsi="Arial" w:cs="Arial"/>
          <w:sz w:val="24"/>
          <w:szCs w:val="24"/>
          <w:lang w:val="fr-CA"/>
        </w:rPr>
        <w:t>, transfrontalier)</w:t>
      </w:r>
    </w:p>
    <w:p w14:paraId="341AD273"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non</w:t>
      </w:r>
    </w:p>
    <w:p w14:paraId="04085CEC" w14:textId="5837A4E2"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4FE186BA"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w:t>
      </w:r>
    </w:p>
    <w:p w14:paraId="19FA61DE" w14:textId="06FD13FE"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Autorité déléguée </w:t>
      </w:r>
      <w:r w:rsidR="00895F56">
        <w:rPr>
          <w:rFonts w:ascii="Arial" w:hAnsi="Arial" w:cs="Arial"/>
          <w:sz w:val="24"/>
          <w:szCs w:val="24"/>
          <w:lang w:val="fr-CA"/>
        </w:rPr>
        <w:t>d’agrément</w:t>
      </w:r>
      <w:r w:rsidRPr="008615BE">
        <w:rPr>
          <w:rFonts w:ascii="Arial" w:hAnsi="Arial" w:cs="Arial"/>
          <w:sz w:val="24"/>
          <w:szCs w:val="24"/>
          <w:lang w:val="fr-CA"/>
        </w:rPr>
        <w:t> : région</w:t>
      </w:r>
    </w:p>
    <w:p w14:paraId="6C4E0FAE" w14:textId="35F4AC66" w:rsidR="00D50802" w:rsidRPr="00D50802"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Autres restrictions</w:t>
      </w:r>
      <w:r w:rsidR="00895F56">
        <w:rPr>
          <w:rFonts w:ascii="Arial" w:hAnsi="Arial" w:cs="Arial"/>
          <w:sz w:val="24"/>
          <w:szCs w:val="24"/>
          <w:lang w:val="fr-CA"/>
        </w:rPr>
        <w:t> </w:t>
      </w:r>
      <w:r w:rsidRPr="008615BE">
        <w:rPr>
          <w:rFonts w:ascii="Arial" w:hAnsi="Arial" w:cs="Arial"/>
          <w:sz w:val="24"/>
          <w:szCs w:val="24"/>
          <w:lang w:val="fr-CA"/>
        </w:rPr>
        <w:t xml:space="preserve">: sur place à l’aéroport/mandataire exclusif du transporteur </w:t>
      </w:r>
    </w:p>
    <w:p w14:paraId="3E54D5E9" w14:textId="77777777" w:rsidR="00D50802" w:rsidRDefault="008615BE" w:rsidP="008615BE">
      <w:pPr>
        <w:pStyle w:val="ListParagraph"/>
        <w:numPr>
          <w:ilvl w:val="1"/>
          <w:numId w:val="3"/>
        </w:numPr>
        <w:spacing w:before="240"/>
        <w:contextualSpacing w:val="0"/>
        <w:rPr>
          <w:rFonts w:cs="Arial"/>
          <w:szCs w:val="24"/>
        </w:rPr>
      </w:pPr>
      <w:r w:rsidRPr="00D50802">
        <w:rPr>
          <w:rFonts w:cs="Arial"/>
          <w:szCs w:val="24"/>
        </w:rPr>
        <w:t>Catégorie d’entrepôt : AW</w:t>
      </w:r>
    </w:p>
    <w:p w14:paraId="479F63F7"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48CAD578"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marchandises diverses</w:t>
      </w:r>
    </w:p>
    <w:p w14:paraId="5A403431" w14:textId="06869695"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Mode : maritime, aérien (exportation seulement), ferroviaire (exportation seulement),</w:t>
      </w:r>
      <w:r w:rsidR="00AC5391">
        <w:rPr>
          <w:rFonts w:ascii="Arial" w:hAnsi="Arial" w:cs="Arial"/>
          <w:sz w:val="24"/>
          <w:szCs w:val="24"/>
          <w:lang w:val="fr-CA"/>
        </w:rPr>
        <w:t xml:space="preserve"> </w:t>
      </w:r>
      <w:r w:rsidRPr="008615BE">
        <w:rPr>
          <w:rFonts w:ascii="Arial" w:hAnsi="Arial" w:cs="Arial"/>
          <w:sz w:val="24"/>
          <w:szCs w:val="24"/>
          <w:lang w:val="fr-CA"/>
        </w:rPr>
        <w:t>routier (exportation seulement)</w:t>
      </w:r>
    </w:p>
    <w:p w14:paraId="6C1F34E2"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non</w:t>
      </w:r>
    </w:p>
    <w:p w14:paraId="043CB053" w14:textId="69BD65B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27451B1F"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w:t>
      </w:r>
    </w:p>
    <w:p w14:paraId="212E4C3B" w14:textId="744B773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Autorité déléguée </w:t>
      </w:r>
      <w:r w:rsidR="00AC5391">
        <w:rPr>
          <w:rFonts w:ascii="Arial" w:hAnsi="Arial" w:cs="Arial"/>
          <w:sz w:val="24"/>
          <w:szCs w:val="24"/>
          <w:lang w:val="fr-CA"/>
        </w:rPr>
        <w:t>d’agrément</w:t>
      </w:r>
      <w:r w:rsidRPr="008615BE">
        <w:rPr>
          <w:rFonts w:ascii="Arial" w:hAnsi="Arial" w:cs="Arial"/>
          <w:sz w:val="24"/>
          <w:szCs w:val="24"/>
          <w:lang w:val="fr-CA"/>
        </w:rPr>
        <w:t> : région</w:t>
      </w:r>
    </w:p>
    <w:p w14:paraId="082F305B" w14:textId="77777777" w:rsidR="00D50802" w:rsidRPr="008615BE" w:rsidRDefault="00D50802" w:rsidP="00D50802">
      <w:pPr>
        <w:spacing w:after="0" w:line="345" w:lineRule="exact"/>
        <w:ind w:left="1440"/>
        <w:rPr>
          <w:rFonts w:ascii="Arial" w:hAnsi="Arial" w:cs="Arial"/>
          <w:sz w:val="24"/>
          <w:szCs w:val="24"/>
          <w:lang w:val="fr-CA"/>
        </w:rPr>
      </w:pPr>
      <w:r w:rsidRPr="008615BE">
        <w:rPr>
          <w:rFonts w:ascii="Arial" w:hAnsi="Arial" w:cs="Arial"/>
          <w:sz w:val="24"/>
          <w:szCs w:val="24"/>
          <w:lang w:val="fr-CA"/>
        </w:rPr>
        <w:t>Autres restrictions : les conteneurs entreposés pour l’exportation doivent être intacts</w:t>
      </w:r>
    </w:p>
    <w:p w14:paraId="108A6AEB" w14:textId="21F401BD" w:rsidR="00D50802" w:rsidRPr="00D50802" w:rsidRDefault="00D50802" w:rsidP="00D50802">
      <w:pPr>
        <w:pStyle w:val="Heading3"/>
      </w:pPr>
      <w:bookmarkStart w:id="124" w:name="_Catégorie_B_–"/>
      <w:bookmarkEnd w:id="124"/>
      <w:r w:rsidRPr="008615BE">
        <w:t xml:space="preserve">Catégorie B – </w:t>
      </w:r>
      <w:r w:rsidR="002D2362">
        <w:t>m</w:t>
      </w:r>
      <w:r w:rsidRPr="008615BE">
        <w:t>archandises diverses</w:t>
      </w:r>
    </w:p>
    <w:p w14:paraId="4EE19870" w14:textId="77777777" w:rsidR="005D793C" w:rsidRDefault="008615BE" w:rsidP="008615BE">
      <w:pPr>
        <w:pStyle w:val="ListParagraph"/>
        <w:numPr>
          <w:ilvl w:val="0"/>
          <w:numId w:val="3"/>
        </w:numPr>
        <w:spacing w:before="240"/>
        <w:contextualSpacing w:val="0"/>
        <w:rPr>
          <w:rFonts w:cs="Arial"/>
          <w:szCs w:val="24"/>
        </w:rPr>
      </w:pPr>
      <w:r w:rsidRPr="00D50802">
        <w:rPr>
          <w:rFonts w:cs="Arial"/>
          <w:szCs w:val="24"/>
        </w:rPr>
        <w:t>Les entrepôts d’attente de catégorie B servent à entreposer les marchandises importées par transport routier à bord de véhicules commerciaux. Les entrepôts de catégorie B comprennent les sous</w:t>
      </w:r>
      <w:r w:rsidRPr="00D50802">
        <w:rPr>
          <w:rFonts w:cs="Arial"/>
          <w:szCs w:val="24"/>
        </w:rPr>
        <w:noBreakHyphen/>
        <w:t>catégories suivantes :</w:t>
      </w:r>
    </w:p>
    <w:p w14:paraId="0B5A0BD5" w14:textId="77777777" w:rsidR="005D793C" w:rsidRPr="008615BE" w:rsidRDefault="005D793C" w:rsidP="005D793C">
      <w:pPr>
        <w:spacing w:after="0" w:line="345" w:lineRule="exact"/>
        <w:rPr>
          <w:rFonts w:ascii="Arial" w:hAnsi="Arial" w:cs="Arial"/>
          <w:b/>
          <w:bCs/>
          <w:sz w:val="24"/>
          <w:szCs w:val="24"/>
          <w:lang w:val="fr-CA"/>
        </w:rPr>
      </w:pPr>
      <w:r w:rsidRPr="008615BE">
        <w:rPr>
          <w:rFonts w:ascii="Arial" w:hAnsi="Arial" w:cs="Arial"/>
          <w:b/>
          <w:bCs/>
          <w:sz w:val="24"/>
          <w:szCs w:val="24"/>
          <w:lang w:val="fr-CA"/>
        </w:rPr>
        <w:t>BW</w:t>
      </w:r>
    </w:p>
    <w:p w14:paraId="1884A9B2" w14:textId="77777777" w:rsidR="005D793C" w:rsidRPr="008615BE" w:rsidRDefault="005D793C" w:rsidP="005D793C">
      <w:pPr>
        <w:spacing w:line="345" w:lineRule="exact"/>
        <w:rPr>
          <w:rFonts w:ascii="Arial" w:hAnsi="Arial" w:cs="Arial"/>
          <w:sz w:val="24"/>
          <w:szCs w:val="24"/>
          <w:lang w:val="fr-CA"/>
        </w:rPr>
      </w:pPr>
      <w:r w:rsidRPr="008615BE">
        <w:rPr>
          <w:rFonts w:ascii="Arial" w:hAnsi="Arial" w:cs="Arial"/>
          <w:sz w:val="24"/>
          <w:szCs w:val="24"/>
          <w:lang w:val="fr-CA"/>
        </w:rPr>
        <w:t>pour le dépôt des marchandises importées par des transporteurs routiers;</w:t>
      </w:r>
    </w:p>
    <w:p w14:paraId="346ED7CC" w14:textId="77777777" w:rsidR="005D793C" w:rsidRPr="008615BE" w:rsidRDefault="005D793C" w:rsidP="005D793C">
      <w:pPr>
        <w:spacing w:after="0" w:line="345" w:lineRule="exact"/>
        <w:rPr>
          <w:rFonts w:ascii="Arial" w:hAnsi="Arial" w:cs="Arial"/>
          <w:b/>
          <w:bCs/>
          <w:sz w:val="24"/>
          <w:szCs w:val="24"/>
          <w:lang w:val="fr-CA"/>
        </w:rPr>
      </w:pPr>
      <w:r w:rsidRPr="008615BE">
        <w:rPr>
          <w:rFonts w:ascii="Arial" w:hAnsi="Arial" w:cs="Arial"/>
          <w:b/>
          <w:bCs/>
          <w:sz w:val="24"/>
          <w:szCs w:val="24"/>
          <w:lang w:val="fr-CA"/>
        </w:rPr>
        <w:t>BL</w:t>
      </w:r>
    </w:p>
    <w:p w14:paraId="1B59878D" w14:textId="77777777" w:rsidR="005D793C" w:rsidRPr="008615BE" w:rsidRDefault="005D793C" w:rsidP="005D793C">
      <w:pPr>
        <w:spacing w:line="345" w:lineRule="exact"/>
        <w:rPr>
          <w:rFonts w:ascii="Arial" w:hAnsi="Arial" w:cs="Arial"/>
          <w:sz w:val="24"/>
          <w:szCs w:val="24"/>
          <w:lang w:val="fr-CA"/>
        </w:rPr>
      </w:pPr>
      <w:r w:rsidRPr="008615BE">
        <w:rPr>
          <w:rFonts w:ascii="Arial" w:hAnsi="Arial" w:cs="Arial"/>
          <w:sz w:val="24"/>
          <w:szCs w:val="24"/>
          <w:lang w:val="fr-CA"/>
        </w:rPr>
        <w:t>exploités par un transporteur routier;</w:t>
      </w:r>
    </w:p>
    <w:p w14:paraId="54B1E8EA" w14:textId="0E2975D0" w:rsidR="005D793C" w:rsidRPr="008615BE" w:rsidRDefault="005D793C" w:rsidP="005D793C">
      <w:pPr>
        <w:spacing w:after="0" w:line="345" w:lineRule="exact"/>
        <w:rPr>
          <w:rFonts w:ascii="Arial" w:hAnsi="Arial" w:cs="Arial"/>
          <w:b/>
          <w:bCs/>
          <w:sz w:val="24"/>
          <w:szCs w:val="24"/>
          <w:lang w:val="fr-CA"/>
        </w:rPr>
      </w:pPr>
      <w:r w:rsidRPr="008615BE">
        <w:rPr>
          <w:rFonts w:ascii="Arial" w:hAnsi="Arial" w:cs="Arial"/>
          <w:b/>
          <w:bCs/>
          <w:sz w:val="24"/>
          <w:szCs w:val="24"/>
          <w:lang w:val="fr-CA"/>
        </w:rPr>
        <w:t xml:space="preserve">BL hors </w:t>
      </w:r>
      <w:r w:rsidR="00511B1B">
        <w:rPr>
          <w:rFonts w:ascii="Arial" w:hAnsi="Arial" w:cs="Arial"/>
          <w:b/>
          <w:bCs/>
          <w:sz w:val="24"/>
          <w:szCs w:val="24"/>
          <w:lang w:val="fr-CA"/>
        </w:rPr>
        <w:t>site</w:t>
      </w:r>
    </w:p>
    <w:p w14:paraId="484137CB" w14:textId="77777777" w:rsidR="005D793C" w:rsidRPr="008615BE" w:rsidRDefault="005D793C" w:rsidP="005D793C">
      <w:pPr>
        <w:spacing w:line="345" w:lineRule="exact"/>
        <w:rPr>
          <w:rFonts w:ascii="Arial" w:hAnsi="Arial" w:cs="Arial"/>
          <w:sz w:val="24"/>
          <w:szCs w:val="24"/>
          <w:lang w:val="fr-CA"/>
        </w:rPr>
      </w:pPr>
      <w:r w:rsidRPr="008615BE">
        <w:rPr>
          <w:rFonts w:ascii="Arial" w:hAnsi="Arial" w:cs="Arial"/>
          <w:sz w:val="24"/>
          <w:szCs w:val="24"/>
          <w:lang w:val="fr-CA"/>
        </w:rPr>
        <w:t>exploités par des transporteurs routiers pour le fret en conteneur seulement.</w:t>
      </w:r>
    </w:p>
    <w:p w14:paraId="41238960" w14:textId="50978E88" w:rsidR="005D793C" w:rsidRPr="005D793C" w:rsidRDefault="005D793C" w:rsidP="005D793C">
      <w:pPr>
        <w:pStyle w:val="Heading4"/>
      </w:pPr>
      <w:r w:rsidRPr="008615BE">
        <w:lastRenderedPageBreak/>
        <w:t>Entrepôts d’attente routiers</w:t>
      </w:r>
    </w:p>
    <w:p w14:paraId="5EC1267C" w14:textId="77777777" w:rsidR="005D793C" w:rsidRDefault="008615BE" w:rsidP="008615BE">
      <w:pPr>
        <w:pStyle w:val="ListParagraph"/>
        <w:numPr>
          <w:ilvl w:val="0"/>
          <w:numId w:val="3"/>
        </w:numPr>
        <w:spacing w:before="240"/>
        <w:contextualSpacing w:val="0"/>
        <w:rPr>
          <w:rFonts w:cs="Arial"/>
          <w:szCs w:val="24"/>
        </w:rPr>
      </w:pPr>
      <w:r w:rsidRPr="005D793C">
        <w:rPr>
          <w:rFonts w:cs="Arial"/>
          <w:szCs w:val="24"/>
        </w:rPr>
        <w:t>L’ASFC limite le nombre d’entrepôts d’attente routiers de catégorie BW à un seul dans le secteur d’un bureau de l’ASFC. Cependant, l’ASFC peut envisager d’octroyer un agrément pour des entrepôts supplémentaires dans les conditions suivantes :</w:t>
      </w:r>
    </w:p>
    <w:p w14:paraId="3B6CDAE1" w14:textId="05928871" w:rsidR="005D793C" w:rsidRDefault="008615BE" w:rsidP="008615BE">
      <w:pPr>
        <w:pStyle w:val="ListParagraph"/>
        <w:numPr>
          <w:ilvl w:val="1"/>
          <w:numId w:val="3"/>
        </w:numPr>
        <w:spacing w:before="240"/>
        <w:contextualSpacing w:val="0"/>
        <w:rPr>
          <w:rFonts w:cs="Arial"/>
          <w:szCs w:val="24"/>
        </w:rPr>
      </w:pPr>
      <w:r w:rsidRPr="005D793C">
        <w:rPr>
          <w:rFonts w:cs="Arial"/>
          <w:szCs w:val="24"/>
        </w:rPr>
        <w:t xml:space="preserve">le volume annuel des </w:t>
      </w:r>
      <w:r w:rsidR="00B27F8A">
        <w:rPr>
          <w:rFonts w:cs="Arial"/>
          <w:szCs w:val="24"/>
        </w:rPr>
        <w:t>expéditions</w:t>
      </w:r>
      <w:r w:rsidRPr="005D793C">
        <w:rPr>
          <w:rFonts w:cs="Arial"/>
          <w:szCs w:val="24"/>
        </w:rPr>
        <w:t xml:space="preserve"> commercia</w:t>
      </w:r>
      <w:r w:rsidR="00B27F8A">
        <w:rPr>
          <w:rFonts w:cs="Arial"/>
          <w:szCs w:val="24"/>
        </w:rPr>
        <w:t>les</w:t>
      </w:r>
      <w:r w:rsidRPr="005D793C">
        <w:rPr>
          <w:rFonts w:cs="Arial"/>
          <w:szCs w:val="24"/>
        </w:rPr>
        <w:t xml:space="preserve"> acheminé</w:t>
      </w:r>
      <w:r w:rsidR="00B27F8A">
        <w:rPr>
          <w:rFonts w:cs="Arial"/>
          <w:szCs w:val="24"/>
        </w:rPr>
        <w:t>e</w:t>
      </w:r>
      <w:r w:rsidRPr="005D793C">
        <w:rPr>
          <w:rFonts w:cs="Arial"/>
          <w:szCs w:val="24"/>
        </w:rPr>
        <w:t>s au bureau de l’ASFC par transport routier dépasse les 40 000 expéditions sur une période continue déterminée par le ministre;</w:t>
      </w:r>
    </w:p>
    <w:p w14:paraId="2C0A73E3" w14:textId="61A4EBDE" w:rsidR="005D793C" w:rsidRDefault="008615BE" w:rsidP="008615BE">
      <w:pPr>
        <w:pStyle w:val="ListParagraph"/>
        <w:numPr>
          <w:ilvl w:val="1"/>
          <w:numId w:val="3"/>
        </w:numPr>
        <w:spacing w:before="240"/>
        <w:contextualSpacing w:val="0"/>
        <w:rPr>
          <w:rFonts w:cs="Arial"/>
          <w:szCs w:val="24"/>
        </w:rPr>
      </w:pPr>
      <w:r w:rsidRPr="005D793C">
        <w:rPr>
          <w:rFonts w:cs="Arial"/>
          <w:szCs w:val="24"/>
        </w:rPr>
        <w:t>l’ASFC est en mesure de fournir les services requis au</w:t>
      </w:r>
      <w:r w:rsidR="00B27F8A">
        <w:rPr>
          <w:rFonts w:cs="Arial"/>
          <w:szCs w:val="24"/>
        </w:rPr>
        <w:t>x</w:t>
      </w:r>
      <w:r w:rsidRPr="005D793C">
        <w:rPr>
          <w:rFonts w:cs="Arial"/>
          <w:szCs w:val="24"/>
        </w:rPr>
        <w:t xml:space="preserve"> nouvel</w:t>
      </w:r>
      <w:r w:rsidR="00B27F8A">
        <w:rPr>
          <w:rFonts w:cs="Arial"/>
          <w:szCs w:val="24"/>
        </w:rPr>
        <w:t>les installations</w:t>
      </w:r>
      <w:r w:rsidRPr="005D793C">
        <w:rPr>
          <w:rFonts w:cs="Arial"/>
          <w:szCs w:val="24"/>
        </w:rPr>
        <w:t xml:space="preserve"> proposé</w:t>
      </w:r>
      <w:r w:rsidR="00B27F8A">
        <w:rPr>
          <w:rFonts w:cs="Arial"/>
          <w:szCs w:val="24"/>
        </w:rPr>
        <w:t>es</w:t>
      </w:r>
      <w:r w:rsidRPr="005D793C">
        <w:rPr>
          <w:rFonts w:cs="Arial"/>
          <w:szCs w:val="24"/>
        </w:rPr>
        <w:t>;</w:t>
      </w:r>
    </w:p>
    <w:p w14:paraId="2F116143" w14:textId="28F3647D" w:rsidR="005D793C" w:rsidRDefault="008615BE" w:rsidP="008615BE">
      <w:pPr>
        <w:pStyle w:val="ListParagraph"/>
        <w:numPr>
          <w:ilvl w:val="1"/>
          <w:numId w:val="3"/>
        </w:numPr>
        <w:spacing w:before="240"/>
        <w:contextualSpacing w:val="0"/>
        <w:rPr>
          <w:rFonts w:cs="Arial"/>
          <w:szCs w:val="24"/>
        </w:rPr>
      </w:pPr>
      <w:r w:rsidRPr="005D793C">
        <w:rPr>
          <w:rFonts w:cs="Arial"/>
          <w:szCs w:val="24"/>
        </w:rPr>
        <w:t xml:space="preserve">le demandeur démontre qu’il est capable d’attirer suffisamment d’expéditions pour justifier la présence </w:t>
      </w:r>
      <w:r w:rsidR="003E3FFA">
        <w:rPr>
          <w:rFonts w:cs="Arial"/>
          <w:szCs w:val="24"/>
        </w:rPr>
        <w:t>des</w:t>
      </w:r>
      <w:r w:rsidR="003E3FFA" w:rsidRPr="005D793C">
        <w:rPr>
          <w:rFonts w:cs="Arial"/>
          <w:szCs w:val="24"/>
        </w:rPr>
        <w:t xml:space="preserve"> </w:t>
      </w:r>
      <w:r w:rsidRPr="005D793C">
        <w:rPr>
          <w:rFonts w:cs="Arial"/>
          <w:szCs w:val="24"/>
        </w:rPr>
        <w:t>agent</w:t>
      </w:r>
      <w:r w:rsidR="003E3FFA">
        <w:rPr>
          <w:rFonts w:cs="Arial"/>
          <w:szCs w:val="24"/>
        </w:rPr>
        <w:t>s</w:t>
      </w:r>
      <w:r w:rsidRPr="005D793C">
        <w:rPr>
          <w:rFonts w:cs="Arial"/>
          <w:szCs w:val="24"/>
        </w:rPr>
        <w:t xml:space="preserve"> de l’ASFC à temps plein.</w:t>
      </w:r>
    </w:p>
    <w:p w14:paraId="088AFE67" w14:textId="748197ED" w:rsidR="005D793C" w:rsidRDefault="008615BE" w:rsidP="008615BE">
      <w:pPr>
        <w:pStyle w:val="ListParagraph"/>
        <w:numPr>
          <w:ilvl w:val="0"/>
          <w:numId w:val="3"/>
        </w:numPr>
        <w:spacing w:before="240"/>
        <w:contextualSpacing w:val="0"/>
        <w:rPr>
          <w:rFonts w:cs="Arial"/>
          <w:szCs w:val="24"/>
        </w:rPr>
      </w:pPr>
      <w:r w:rsidRPr="005D793C">
        <w:rPr>
          <w:rFonts w:cs="Arial"/>
          <w:szCs w:val="24"/>
        </w:rPr>
        <w:t xml:space="preserve">L’ASFC n’approuve habituellement pas un agrément </w:t>
      </w:r>
      <w:r w:rsidR="004A2406">
        <w:rPr>
          <w:rFonts w:cs="Arial"/>
          <w:szCs w:val="24"/>
        </w:rPr>
        <w:t>d’</w:t>
      </w:r>
      <w:r w:rsidRPr="005D793C">
        <w:rPr>
          <w:rFonts w:cs="Arial"/>
          <w:szCs w:val="24"/>
        </w:rPr>
        <w:t xml:space="preserve">exploitation d’un entrepôt d’attente de catégorie BW </w:t>
      </w:r>
      <w:r w:rsidR="00CD4250">
        <w:rPr>
          <w:rFonts w:cs="Arial"/>
          <w:szCs w:val="24"/>
        </w:rPr>
        <w:t>qui recevra</w:t>
      </w:r>
      <w:r w:rsidRPr="005D793C">
        <w:rPr>
          <w:rFonts w:cs="Arial"/>
          <w:szCs w:val="24"/>
        </w:rPr>
        <w:t xml:space="preserve"> des marchandises diverses acheminées par des véhicules commerciaux à des emplacements frontaliers étant donné que ces emplacements sont déjà desservis par des entrepôts d’examen à la frontière. Les seuls endroits faisant exception sont ceux où les entrepôts existants ne conviennent pas à l’entreposage et à l’examen d’expéditions commerciales ou ceux </w:t>
      </w:r>
      <w:r w:rsidR="00CD4250">
        <w:rPr>
          <w:rFonts w:cs="Arial"/>
          <w:szCs w:val="24"/>
        </w:rPr>
        <w:t>dont</w:t>
      </w:r>
      <w:r w:rsidRPr="005D793C">
        <w:rPr>
          <w:rFonts w:cs="Arial"/>
          <w:szCs w:val="24"/>
        </w:rPr>
        <w:t xml:space="preserve"> le volume des expéditions justifie l’octroi d’un agrément </w:t>
      </w:r>
      <w:r w:rsidR="004A2406">
        <w:rPr>
          <w:rFonts w:cs="Arial"/>
          <w:szCs w:val="24"/>
        </w:rPr>
        <w:t>d’</w:t>
      </w:r>
      <w:r w:rsidRPr="005D793C">
        <w:rPr>
          <w:rFonts w:cs="Arial"/>
          <w:szCs w:val="24"/>
        </w:rPr>
        <w:t>exploitation d’un entrepôt d’attente routier. Même dans ces circonstances, il faut que l’ASFC soit en mesure d’offrir des services.</w:t>
      </w:r>
    </w:p>
    <w:p w14:paraId="5CC1A94A" w14:textId="0009EAC1" w:rsidR="005D793C" w:rsidRDefault="008615BE" w:rsidP="008615BE">
      <w:pPr>
        <w:pStyle w:val="ListParagraph"/>
        <w:numPr>
          <w:ilvl w:val="0"/>
          <w:numId w:val="3"/>
        </w:numPr>
        <w:spacing w:before="240"/>
        <w:contextualSpacing w:val="0"/>
        <w:rPr>
          <w:rFonts w:cs="Arial"/>
          <w:szCs w:val="24"/>
        </w:rPr>
      </w:pPr>
      <w:r w:rsidRPr="005D793C">
        <w:rPr>
          <w:rFonts w:cs="Arial"/>
          <w:szCs w:val="24"/>
        </w:rPr>
        <w:t xml:space="preserve">Lorsque le ministre établit qu’un nouvel entrepôt d’attente de catégorie BW est nécessaire, des annonces sont publiées </w:t>
      </w:r>
      <w:r w:rsidR="00761A3B">
        <w:rPr>
          <w:rFonts w:cs="Arial"/>
          <w:szCs w:val="24"/>
        </w:rPr>
        <w:t>dans</w:t>
      </w:r>
      <w:r w:rsidRPr="005D793C">
        <w:rPr>
          <w:rFonts w:cs="Arial"/>
          <w:szCs w:val="24"/>
        </w:rPr>
        <w:t xml:space="preserve"> un Avis des douanes pour inviter les candidats </w:t>
      </w:r>
      <w:r w:rsidR="00E43960">
        <w:rPr>
          <w:rFonts w:cs="Arial"/>
          <w:szCs w:val="24"/>
        </w:rPr>
        <w:t>qui le souhaitent</w:t>
      </w:r>
      <w:r w:rsidRPr="005D793C">
        <w:rPr>
          <w:rFonts w:cs="Arial"/>
          <w:szCs w:val="24"/>
        </w:rPr>
        <w:t xml:space="preserve"> à présenter leur demande. Toutes les demandes doivent être présentées dans le </w:t>
      </w:r>
      <w:r w:rsidR="00DC3E06">
        <w:rPr>
          <w:rFonts w:cs="Arial"/>
          <w:szCs w:val="24"/>
        </w:rPr>
        <w:t xml:space="preserve">PCG </w:t>
      </w:r>
      <w:r w:rsidRPr="005D793C">
        <w:rPr>
          <w:rFonts w:cs="Arial"/>
          <w:szCs w:val="24"/>
        </w:rPr>
        <w:t>au bureau de l’ASFC mentionné dans l’annonce.</w:t>
      </w:r>
    </w:p>
    <w:p w14:paraId="31CF9A33" w14:textId="77777777" w:rsidR="005D793C" w:rsidRDefault="008615BE" w:rsidP="008615BE">
      <w:pPr>
        <w:pStyle w:val="ListParagraph"/>
        <w:numPr>
          <w:ilvl w:val="0"/>
          <w:numId w:val="3"/>
        </w:numPr>
        <w:spacing w:before="240"/>
        <w:contextualSpacing w:val="0"/>
        <w:rPr>
          <w:rFonts w:cs="Arial"/>
          <w:szCs w:val="24"/>
        </w:rPr>
      </w:pPr>
      <w:r w:rsidRPr="005D793C">
        <w:rPr>
          <w:rFonts w:cs="Arial"/>
          <w:szCs w:val="24"/>
        </w:rPr>
        <w:t>L’ASFC octroiera un agrément aux demandeurs qui satisfont à toutes les exigences et informera tous les demandeurs par écrit de la décision du ministre.</w:t>
      </w:r>
    </w:p>
    <w:p w14:paraId="4010EABA" w14:textId="2D7F23A6" w:rsidR="005D793C" w:rsidRDefault="008615BE" w:rsidP="008615BE">
      <w:pPr>
        <w:pStyle w:val="ListParagraph"/>
        <w:numPr>
          <w:ilvl w:val="0"/>
          <w:numId w:val="3"/>
        </w:numPr>
        <w:spacing w:before="240"/>
        <w:contextualSpacing w:val="0"/>
        <w:rPr>
          <w:rFonts w:cs="Arial"/>
          <w:szCs w:val="24"/>
        </w:rPr>
      </w:pPr>
      <w:r w:rsidRPr="005D793C">
        <w:rPr>
          <w:rFonts w:cs="Arial"/>
          <w:szCs w:val="24"/>
        </w:rPr>
        <w:t xml:space="preserve">Une fois qu’un agrément </w:t>
      </w:r>
      <w:r w:rsidR="00B85829">
        <w:rPr>
          <w:rFonts w:cs="Arial"/>
          <w:szCs w:val="24"/>
        </w:rPr>
        <w:t>d’</w:t>
      </w:r>
      <w:r w:rsidRPr="005D793C">
        <w:rPr>
          <w:rFonts w:cs="Arial"/>
          <w:szCs w:val="24"/>
        </w:rPr>
        <w:t xml:space="preserve">exploitation d’un entrepôt de catégorie BW a été </w:t>
      </w:r>
      <w:r w:rsidR="00E43960">
        <w:rPr>
          <w:rFonts w:cs="Arial"/>
          <w:szCs w:val="24"/>
        </w:rPr>
        <w:t>octroyé</w:t>
      </w:r>
      <w:r w:rsidRPr="005D793C">
        <w:rPr>
          <w:rFonts w:cs="Arial"/>
          <w:szCs w:val="24"/>
        </w:rPr>
        <w:t xml:space="preserve"> dans un secteur, l’ASFC ne prendra pas en considération les demandes </w:t>
      </w:r>
      <w:r w:rsidRPr="005D793C">
        <w:rPr>
          <w:rFonts w:cs="Arial"/>
          <w:szCs w:val="24"/>
        </w:rPr>
        <w:lastRenderedPageBreak/>
        <w:t>d’exploitation d’un entrepôt d’attente supplémentaire pendant une période minimale de deux ans, sauf indication contraire du ministre.</w:t>
      </w:r>
    </w:p>
    <w:p w14:paraId="666CE589" w14:textId="19FB5127" w:rsidR="005D793C" w:rsidRPr="005D793C" w:rsidRDefault="005D793C" w:rsidP="005D793C">
      <w:pPr>
        <w:pStyle w:val="Heading4"/>
      </w:pPr>
      <w:r w:rsidRPr="008615BE">
        <w:t>Catégorie BL</w:t>
      </w:r>
    </w:p>
    <w:p w14:paraId="0541C9B6" w14:textId="77777777" w:rsidR="005D793C" w:rsidRDefault="008615BE" w:rsidP="008615BE">
      <w:pPr>
        <w:pStyle w:val="ListParagraph"/>
        <w:numPr>
          <w:ilvl w:val="0"/>
          <w:numId w:val="3"/>
        </w:numPr>
        <w:spacing w:before="240"/>
        <w:contextualSpacing w:val="0"/>
        <w:rPr>
          <w:rFonts w:cs="Arial"/>
          <w:szCs w:val="24"/>
        </w:rPr>
      </w:pPr>
      <w:r w:rsidRPr="005D793C">
        <w:rPr>
          <w:rFonts w:cs="Arial"/>
          <w:szCs w:val="24"/>
        </w:rPr>
        <w:t>Les entrepôts d’attente de catégorie BL sont exploités par un transporteur routier cautionné qui loue de l’espace dans un entrepôt d’attente BW pour entreposer des marchandises importées transportées dans le cadre du système du transporteur routier cautionné, comme les marchandises transportées sous le code du transporteur attribué par l’ASFC.</w:t>
      </w:r>
    </w:p>
    <w:p w14:paraId="11C77217" w14:textId="01876FD1" w:rsidR="005D793C" w:rsidRPr="005D793C" w:rsidRDefault="006D559A" w:rsidP="005D793C">
      <w:pPr>
        <w:pStyle w:val="Heading4"/>
      </w:pPr>
      <w:r>
        <w:t>C</w:t>
      </w:r>
      <w:r w:rsidR="005D793C" w:rsidRPr="008615BE">
        <w:t>atégorie BL</w:t>
      </w:r>
      <w:r>
        <w:t xml:space="preserve"> hors site</w:t>
      </w:r>
    </w:p>
    <w:p w14:paraId="2492D6DB" w14:textId="36C2945D" w:rsidR="005D793C" w:rsidRDefault="008615BE" w:rsidP="008615BE">
      <w:pPr>
        <w:pStyle w:val="ListParagraph"/>
        <w:numPr>
          <w:ilvl w:val="0"/>
          <w:numId w:val="3"/>
        </w:numPr>
        <w:spacing w:before="240"/>
        <w:contextualSpacing w:val="0"/>
        <w:rPr>
          <w:rFonts w:cs="Arial"/>
          <w:szCs w:val="24"/>
        </w:rPr>
      </w:pPr>
      <w:r w:rsidRPr="005D793C">
        <w:rPr>
          <w:rFonts w:cs="Arial"/>
          <w:szCs w:val="24"/>
        </w:rPr>
        <w:t>L</w:t>
      </w:r>
      <w:r w:rsidR="00333BC2">
        <w:rPr>
          <w:rFonts w:cs="Arial"/>
          <w:szCs w:val="24"/>
        </w:rPr>
        <w:t>’</w:t>
      </w:r>
      <w:r w:rsidRPr="005D793C">
        <w:rPr>
          <w:rFonts w:cs="Arial"/>
          <w:szCs w:val="24"/>
        </w:rPr>
        <w:t xml:space="preserve">agrément </w:t>
      </w:r>
      <w:r w:rsidR="00333BC2">
        <w:rPr>
          <w:rFonts w:cs="Arial"/>
          <w:szCs w:val="24"/>
        </w:rPr>
        <w:t>d’</w:t>
      </w:r>
      <w:r w:rsidRPr="005D793C">
        <w:rPr>
          <w:rFonts w:cs="Arial"/>
          <w:szCs w:val="24"/>
        </w:rPr>
        <w:t xml:space="preserve">exploitation d’un entrepôt d’attente hors </w:t>
      </w:r>
      <w:r w:rsidR="006D559A">
        <w:rPr>
          <w:rFonts w:cs="Arial"/>
          <w:szCs w:val="24"/>
        </w:rPr>
        <w:t>site</w:t>
      </w:r>
      <w:r w:rsidRPr="005D793C">
        <w:rPr>
          <w:rFonts w:cs="Arial"/>
          <w:szCs w:val="24"/>
        </w:rPr>
        <w:t xml:space="preserve"> de catégorie BL </w:t>
      </w:r>
      <w:r w:rsidR="00333BC2">
        <w:rPr>
          <w:rFonts w:cs="Arial"/>
          <w:szCs w:val="24"/>
        </w:rPr>
        <w:t>est</w:t>
      </w:r>
      <w:r w:rsidRPr="005D793C">
        <w:rPr>
          <w:rFonts w:cs="Arial"/>
          <w:szCs w:val="24"/>
        </w:rPr>
        <w:t xml:space="preserve"> octroyé si les conditions suivantes sont </w:t>
      </w:r>
      <w:r w:rsidR="00DC3E06">
        <w:rPr>
          <w:rFonts w:cs="Arial"/>
          <w:szCs w:val="24"/>
        </w:rPr>
        <w:t>remplis</w:t>
      </w:r>
      <w:r w:rsidR="00DC3E06" w:rsidRPr="005D793C">
        <w:rPr>
          <w:rFonts w:cs="Arial"/>
          <w:szCs w:val="24"/>
        </w:rPr>
        <w:t> </w:t>
      </w:r>
      <w:r w:rsidRPr="005D793C">
        <w:rPr>
          <w:rFonts w:cs="Arial"/>
          <w:szCs w:val="24"/>
        </w:rPr>
        <w:t>:</w:t>
      </w:r>
    </w:p>
    <w:p w14:paraId="08CB3FA3" w14:textId="77777777" w:rsidR="005D793C" w:rsidRDefault="008615BE" w:rsidP="008615BE">
      <w:pPr>
        <w:pStyle w:val="ListParagraph"/>
        <w:numPr>
          <w:ilvl w:val="1"/>
          <w:numId w:val="3"/>
        </w:numPr>
        <w:spacing w:before="240"/>
        <w:contextualSpacing w:val="0"/>
        <w:rPr>
          <w:rFonts w:cs="Arial"/>
          <w:szCs w:val="24"/>
        </w:rPr>
      </w:pPr>
      <w:r w:rsidRPr="005D793C">
        <w:rPr>
          <w:rFonts w:cs="Arial"/>
          <w:szCs w:val="24"/>
        </w:rPr>
        <w:t>le fret est transporté dans des conteneurs;</w:t>
      </w:r>
    </w:p>
    <w:p w14:paraId="1FF014A6" w14:textId="61C29770" w:rsidR="005D793C" w:rsidRDefault="008615BE" w:rsidP="008615BE">
      <w:pPr>
        <w:pStyle w:val="ListParagraph"/>
        <w:numPr>
          <w:ilvl w:val="1"/>
          <w:numId w:val="3"/>
        </w:numPr>
        <w:spacing w:before="240"/>
        <w:contextualSpacing w:val="0"/>
        <w:rPr>
          <w:rFonts w:cs="Arial"/>
          <w:szCs w:val="24"/>
        </w:rPr>
      </w:pPr>
      <w:r w:rsidRPr="005D793C">
        <w:rPr>
          <w:rFonts w:cs="Arial"/>
          <w:szCs w:val="24"/>
        </w:rPr>
        <w:t>l’entrepôt est muni de l’équipement requis pour la levée des conteneurs, c’est</w:t>
      </w:r>
      <w:r w:rsidRPr="005D793C">
        <w:rPr>
          <w:rFonts w:cs="Arial"/>
          <w:szCs w:val="24"/>
        </w:rPr>
        <w:noBreakHyphen/>
        <w:t>à</w:t>
      </w:r>
      <w:r w:rsidRPr="005D793C">
        <w:rPr>
          <w:rFonts w:cs="Arial"/>
          <w:szCs w:val="24"/>
        </w:rPr>
        <w:noBreakHyphen/>
        <w:t>dire d’appareils permettant de soulever des conteneurs de</w:t>
      </w:r>
      <w:r w:rsidR="006D559A">
        <w:rPr>
          <w:rFonts w:cs="Arial"/>
          <w:szCs w:val="24"/>
        </w:rPr>
        <w:t xml:space="preserve"> </w:t>
      </w:r>
      <w:r w:rsidRPr="005D793C">
        <w:rPr>
          <w:rFonts w:cs="Arial"/>
          <w:szCs w:val="24"/>
        </w:rPr>
        <w:t>6 et 12 mètres (20 et 40 pieds) et d’un poids maximal de 45 360 kilogrammes (100 000 livres);</w:t>
      </w:r>
    </w:p>
    <w:p w14:paraId="2D24135F" w14:textId="013893DC" w:rsidR="005D793C" w:rsidRDefault="008615BE" w:rsidP="008615BE">
      <w:pPr>
        <w:pStyle w:val="ListParagraph"/>
        <w:numPr>
          <w:ilvl w:val="1"/>
          <w:numId w:val="3"/>
        </w:numPr>
        <w:spacing w:before="240"/>
        <w:contextualSpacing w:val="0"/>
        <w:rPr>
          <w:rFonts w:cs="Arial"/>
          <w:szCs w:val="24"/>
        </w:rPr>
      </w:pPr>
      <w:r w:rsidRPr="005D793C">
        <w:rPr>
          <w:rFonts w:cs="Arial"/>
          <w:szCs w:val="24"/>
        </w:rPr>
        <w:t xml:space="preserve">l’entrepôt d’attente de catégorie BW qui existe déjà </w:t>
      </w:r>
      <w:r w:rsidR="006D559A">
        <w:rPr>
          <w:rFonts w:cs="Arial"/>
          <w:szCs w:val="24"/>
        </w:rPr>
        <w:t>dans ce secteur</w:t>
      </w:r>
      <w:r w:rsidRPr="005D793C">
        <w:rPr>
          <w:rFonts w:cs="Arial"/>
          <w:szCs w:val="24"/>
        </w:rPr>
        <w:t xml:space="preserve"> n’a pas l’équipement ou l’espace requis pour la manutention de conteneurs;</w:t>
      </w:r>
    </w:p>
    <w:p w14:paraId="1B975018" w14:textId="728D0F2C" w:rsidR="005D793C" w:rsidRDefault="008615BE" w:rsidP="008615BE">
      <w:pPr>
        <w:pStyle w:val="ListParagraph"/>
        <w:numPr>
          <w:ilvl w:val="1"/>
          <w:numId w:val="3"/>
        </w:numPr>
        <w:spacing w:before="240"/>
        <w:contextualSpacing w:val="0"/>
        <w:rPr>
          <w:rFonts w:cs="Arial"/>
          <w:szCs w:val="24"/>
        </w:rPr>
      </w:pPr>
      <w:r w:rsidRPr="005D793C">
        <w:rPr>
          <w:rFonts w:cs="Arial"/>
          <w:szCs w:val="24"/>
        </w:rPr>
        <w:t xml:space="preserve">l’entrepôt hors </w:t>
      </w:r>
      <w:r w:rsidR="00295907">
        <w:rPr>
          <w:rFonts w:cs="Arial"/>
          <w:szCs w:val="24"/>
        </w:rPr>
        <w:t>site</w:t>
      </w:r>
      <w:r w:rsidRPr="005D793C">
        <w:rPr>
          <w:rFonts w:cs="Arial"/>
          <w:szCs w:val="24"/>
        </w:rPr>
        <w:t xml:space="preserve"> est à une distance raisonnable du bureau de l’ASFC ou de l’entrepôt d’attente routier de catégorie BW, selon le jugement de l’ASFC;</w:t>
      </w:r>
    </w:p>
    <w:p w14:paraId="4FDCEB24" w14:textId="2F4C5AD4" w:rsidR="005D793C" w:rsidRDefault="008615BE" w:rsidP="008615BE">
      <w:pPr>
        <w:pStyle w:val="ListParagraph"/>
        <w:numPr>
          <w:ilvl w:val="1"/>
          <w:numId w:val="3"/>
        </w:numPr>
        <w:spacing w:before="240"/>
        <w:contextualSpacing w:val="0"/>
        <w:rPr>
          <w:rFonts w:cs="Arial"/>
          <w:szCs w:val="24"/>
        </w:rPr>
      </w:pPr>
      <w:r w:rsidRPr="005D793C">
        <w:rPr>
          <w:rFonts w:cs="Arial"/>
          <w:szCs w:val="24"/>
        </w:rPr>
        <w:t xml:space="preserve">lorsque l’ASFC désire examiner des marchandises, le transporteur doit les retourner à l’entrepôt d’attente routier de catégorie BW; il faut qu’il y ait à cet égard une convention écrite distincte entre chaque exploitant d’entrepôt d’attente routier de catégorie BW et chaque entrepôt hors </w:t>
      </w:r>
      <w:r w:rsidR="00755110">
        <w:rPr>
          <w:rFonts w:cs="Arial"/>
          <w:szCs w:val="24"/>
        </w:rPr>
        <w:t>site</w:t>
      </w:r>
      <w:r w:rsidRPr="005D793C">
        <w:rPr>
          <w:rFonts w:cs="Arial"/>
          <w:szCs w:val="24"/>
        </w:rPr>
        <w:t>;</w:t>
      </w:r>
    </w:p>
    <w:p w14:paraId="5353D00F" w14:textId="77777777" w:rsidR="005D793C" w:rsidRDefault="008615BE" w:rsidP="008615BE">
      <w:pPr>
        <w:pStyle w:val="ListParagraph"/>
        <w:numPr>
          <w:ilvl w:val="1"/>
          <w:numId w:val="3"/>
        </w:numPr>
        <w:spacing w:before="240"/>
        <w:contextualSpacing w:val="0"/>
        <w:rPr>
          <w:rFonts w:cs="Arial"/>
          <w:szCs w:val="24"/>
        </w:rPr>
      </w:pPr>
      <w:r w:rsidRPr="005D793C">
        <w:rPr>
          <w:rFonts w:cs="Arial"/>
          <w:szCs w:val="24"/>
        </w:rPr>
        <w:t>toutes les autres conditions d’octroi de l’agrément précisées dans le présent mémorandum sont remplies.</w:t>
      </w:r>
    </w:p>
    <w:p w14:paraId="2D2C3096" w14:textId="1F454E29" w:rsidR="005D793C" w:rsidRPr="005D793C" w:rsidRDefault="005D793C" w:rsidP="005D793C">
      <w:pPr>
        <w:pStyle w:val="Heading4"/>
        <w:rPr>
          <w:szCs w:val="32"/>
        </w:rPr>
      </w:pPr>
      <w:bookmarkStart w:id="125" w:name="_Hlk214013211"/>
      <w:r w:rsidRPr="005D793C">
        <w:rPr>
          <w:bCs/>
        </w:rPr>
        <w:lastRenderedPageBreak/>
        <w:t>Catégorie </w:t>
      </w:r>
      <w:r>
        <w:rPr>
          <w:bCs/>
        </w:rPr>
        <w:t xml:space="preserve">B </w:t>
      </w:r>
      <w:r w:rsidR="00755110">
        <w:rPr>
          <w:bCs/>
        </w:rPr>
        <w:t>–</w:t>
      </w:r>
      <w:r>
        <w:rPr>
          <w:bCs/>
        </w:rPr>
        <w:t xml:space="preserve"> </w:t>
      </w:r>
      <w:r w:rsidR="002D2362">
        <w:rPr>
          <w:bCs/>
        </w:rPr>
        <w:t>e</w:t>
      </w:r>
      <w:r w:rsidRPr="005D793C">
        <w:rPr>
          <w:bCs/>
        </w:rPr>
        <w:t>xigences</w:t>
      </w:r>
      <w:r w:rsidRPr="008615BE">
        <w:t xml:space="preserve"> et restrictions relatives aux entrepôts d’attente</w:t>
      </w:r>
    </w:p>
    <w:bookmarkEnd w:id="125"/>
    <w:p w14:paraId="6B71E94F" w14:textId="2DB52535" w:rsidR="005D793C" w:rsidRDefault="008615BE" w:rsidP="008615BE">
      <w:pPr>
        <w:pStyle w:val="ListParagraph"/>
        <w:numPr>
          <w:ilvl w:val="0"/>
          <w:numId w:val="3"/>
        </w:numPr>
        <w:spacing w:before="240"/>
        <w:contextualSpacing w:val="0"/>
        <w:rPr>
          <w:rFonts w:cs="Arial"/>
          <w:szCs w:val="24"/>
        </w:rPr>
      </w:pPr>
      <w:r w:rsidRPr="00880932">
        <w:rPr>
          <w:rFonts w:cs="Arial"/>
          <w:color w:val="000000" w:themeColor="text1"/>
          <w:szCs w:val="24"/>
        </w:rPr>
        <w:t xml:space="preserve">Les exigences </w:t>
      </w:r>
      <w:r w:rsidRPr="005D793C">
        <w:rPr>
          <w:rFonts w:cs="Arial"/>
          <w:szCs w:val="24"/>
        </w:rPr>
        <w:t xml:space="preserve">et les restrictions pour </w:t>
      </w:r>
      <w:r w:rsidR="00755110">
        <w:rPr>
          <w:rFonts w:cs="Arial"/>
          <w:szCs w:val="24"/>
        </w:rPr>
        <w:t xml:space="preserve">exploiter </w:t>
      </w:r>
      <w:r w:rsidR="000E407E">
        <w:rPr>
          <w:rFonts w:cs="Arial"/>
          <w:szCs w:val="24"/>
        </w:rPr>
        <w:t>d</w:t>
      </w:r>
      <w:r w:rsidR="00755110">
        <w:rPr>
          <w:rFonts w:cs="Arial"/>
          <w:szCs w:val="24"/>
        </w:rPr>
        <w:t>es</w:t>
      </w:r>
      <w:r w:rsidRPr="005D793C">
        <w:rPr>
          <w:rFonts w:cs="Arial"/>
          <w:szCs w:val="24"/>
        </w:rPr>
        <w:t xml:space="preserve"> entrepôts de catégories BW, BL et BL hors </w:t>
      </w:r>
      <w:r w:rsidR="000E407E">
        <w:rPr>
          <w:rFonts w:cs="Arial"/>
          <w:szCs w:val="24"/>
        </w:rPr>
        <w:t>site</w:t>
      </w:r>
      <w:r w:rsidRPr="005D793C">
        <w:rPr>
          <w:rFonts w:cs="Arial"/>
          <w:szCs w:val="24"/>
        </w:rPr>
        <w:t xml:space="preserve"> sont les suivantes</w:t>
      </w:r>
      <w:r w:rsidR="000E407E">
        <w:rPr>
          <w:rFonts w:cs="Arial"/>
          <w:szCs w:val="24"/>
        </w:rPr>
        <w:t> </w:t>
      </w:r>
      <w:r w:rsidRPr="005D793C">
        <w:rPr>
          <w:rFonts w:cs="Arial"/>
          <w:szCs w:val="24"/>
        </w:rPr>
        <w:t>:</w:t>
      </w:r>
    </w:p>
    <w:p w14:paraId="7AC07B27" w14:textId="77777777" w:rsidR="005D793C" w:rsidRDefault="008615BE" w:rsidP="008615BE">
      <w:pPr>
        <w:pStyle w:val="ListParagraph"/>
        <w:numPr>
          <w:ilvl w:val="1"/>
          <w:numId w:val="3"/>
        </w:numPr>
        <w:spacing w:before="240"/>
        <w:contextualSpacing w:val="0"/>
        <w:rPr>
          <w:rFonts w:cs="Arial"/>
          <w:szCs w:val="24"/>
        </w:rPr>
      </w:pPr>
      <w:r w:rsidRPr="005D793C">
        <w:rPr>
          <w:rFonts w:cs="Arial"/>
          <w:szCs w:val="24"/>
        </w:rPr>
        <w:t>Catégorie d’entrepôt : BW</w:t>
      </w:r>
    </w:p>
    <w:p w14:paraId="1CDD6655"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74AB90A2"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marchandises diverses</w:t>
      </w:r>
    </w:p>
    <w:p w14:paraId="74D89B2C"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Mode : ferroviaire, maritime, routier</w:t>
      </w:r>
    </w:p>
    <w:p w14:paraId="34C5DECC"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non</w:t>
      </w:r>
    </w:p>
    <w:p w14:paraId="2600FCAC" w14:textId="311A77EA"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0EEA0DAE"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w:t>
      </w:r>
    </w:p>
    <w:p w14:paraId="441B92B8" w14:textId="19613B1F"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Autorité déléguée </w:t>
      </w:r>
      <w:r w:rsidR="00644E1D" w:rsidRPr="00644E1D">
        <w:rPr>
          <w:rFonts w:ascii="Arial" w:hAnsi="Arial" w:cs="Arial"/>
          <w:sz w:val="24"/>
          <w:szCs w:val="24"/>
          <w:lang w:val="fr-CA"/>
        </w:rPr>
        <w:t>d’agrément</w:t>
      </w:r>
      <w:r w:rsidRPr="008615BE">
        <w:rPr>
          <w:rFonts w:ascii="Arial" w:hAnsi="Arial" w:cs="Arial"/>
          <w:sz w:val="24"/>
          <w:szCs w:val="24"/>
          <w:lang w:val="fr-CA"/>
        </w:rPr>
        <w:t> : Administration centrale</w:t>
      </w:r>
    </w:p>
    <w:p w14:paraId="7D52207F" w14:textId="48EE156F" w:rsidR="005D793C" w:rsidRPr="005D793C"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Autres restrictions</w:t>
      </w:r>
      <w:r w:rsidR="007F0701">
        <w:rPr>
          <w:rFonts w:ascii="Arial" w:hAnsi="Arial" w:cs="Arial"/>
          <w:sz w:val="24"/>
          <w:szCs w:val="24"/>
          <w:lang w:val="fr-CA"/>
        </w:rPr>
        <w:t> </w:t>
      </w:r>
      <w:r w:rsidRPr="008615BE">
        <w:rPr>
          <w:rFonts w:ascii="Arial" w:hAnsi="Arial" w:cs="Arial"/>
          <w:sz w:val="24"/>
          <w:szCs w:val="24"/>
          <w:lang w:val="fr-CA"/>
        </w:rPr>
        <w:t xml:space="preserve">: installation publique </w:t>
      </w:r>
      <w:r w:rsidR="007F0701">
        <w:rPr>
          <w:rFonts w:ascii="Arial" w:hAnsi="Arial" w:cs="Arial"/>
          <w:sz w:val="24"/>
          <w:szCs w:val="24"/>
          <w:lang w:val="fr-CA"/>
        </w:rPr>
        <w:t>–</w:t>
      </w:r>
      <w:r w:rsidRPr="008615BE">
        <w:rPr>
          <w:rFonts w:ascii="Arial" w:hAnsi="Arial" w:cs="Arial"/>
          <w:sz w:val="24"/>
          <w:szCs w:val="24"/>
          <w:lang w:val="fr-CA"/>
        </w:rPr>
        <w:t xml:space="preserve"> une par </w:t>
      </w:r>
      <w:r w:rsidR="007F0701">
        <w:rPr>
          <w:rFonts w:ascii="Arial" w:hAnsi="Arial" w:cs="Arial"/>
          <w:sz w:val="24"/>
          <w:szCs w:val="24"/>
          <w:lang w:val="fr-CA"/>
        </w:rPr>
        <w:t>point d’entrée</w:t>
      </w:r>
    </w:p>
    <w:p w14:paraId="6678AA46" w14:textId="77777777" w:rsidR="005D793C" w:rsidRDefault="008615BE" w:rsidP="008615BE">
      <w:pPr>
        <w:pStyle w:val="ListParagraph"/>
        <w:numPr>
          <w:ilvl w:val="1"/>
          <w:numId w:val="3"/>
        </w:numPr>
        <w:spacing w:before="240"/>
        <w:contextualSpacing w:val="0"/>
        <w:rPr>
          <w:rFonts w:cs="Arial"/>
          <w:szCs w:val="24"/>
        </w:rPr>
      </w:pPr>
      <w:r w:rsidRPr="005D793C">
        <w:rPr>
          <w:rFonts w:cs="Arial"/>
          <w:szCs w:val="24"/>
        </w:rPr>
        <w:t>Catégorie d’entrepôt : BL</w:t>
      </w:r>
    </w:p>
    <w:p w14:paraId="00EE187D"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492E12E1"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marchandises diverses</w:t>
      </w:r>
    </w:p>
    <w:p w14:paraId="079726AC" w14:textId="70B9167E"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Mode</w:t>
      </w:r>
      <w:r w:rsidR="007F0701">
        <w:rPr>
          <w:rFonts w:ascii="Arial" w:hAnsi="Arial" w:cs="Arial"/>
          <w:sz w:val="24"/>
          <w:szCs w:val="24"/>
          <w:lang w:val="fr-CA"/>
        </w:rPr>
        <w:t> </w:t>
      </w:r>
      <w:r w:rsidRPr="008615BE">
        <w:rPr>
          <w:rFonts w:ascii="Arial" w:hAnsi="Arial" w:cs="Arial"/>
          <w:sz w:val="24"/>
          <w:szCs w:val="24"/>
          <w:lang w:val="fr-CA"/>
        </w:rPr>
        <w:t>: routier</w:t>
      </w:r>
    </w:p>
    <w:p w14:paraId="4CB346C3"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non</w:t>
      </w:r>
    </w:p>
    <w:p w14:paraId="14AE7C1C" w14:textId="5F7724B9"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04DC0CC7"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w:t>
      </w:r>
    </w:p>
    <w:p w14:paraId="08E2D02A" w14:textId="07A0D172"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Autorité déléguée </w:t>
      </w:r>
      <w:r w:rsidR="007F0701" w:rsidRPr="007F0701">
        <w:rPr>
          <w:rFonts w:ascii="Arial" w:hAnsi="Arial" w:cs="Arial"/>
          <w:sz w:val="24"/>
          <w:szCs w:val="24"/>
          <w:lang w:val="fr-CA"/>
        </w:rPr>
        <w:t>d’agrément</w:t>
      </w:r>
      <w:r w:rsidRPr="008615BE">
        <w:rPr>
          <w:rFonts w:ascii="Arial" w:hAnsi="Arial" w:cs="Arial"/>
          <w:sz w:val="24"/>
          <w:szCs w:val="24"/>
          <w:lang w:val="fr-CA"/>
        </w:rPr>
        <w:t> : région</w:t>
      </w:r>
    </w:p>
    <w:p w14:paraId="4F10A04F" w14:textId="60FE0D3E" w:rsidR="005D793C" w:rsidRPr="005D793C"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Autres restrictions : sur place à l’entrepôt d’attente de catégorie BW</w:t>
      </w:r>
    </w:p>
    <w:p w14:paraId="20FECBAB" w14:textId="3F8FA4A8" w:rsidR="005D793C" w:rsidRDefault="008615BE" w:rsidP="008615BE">
      <w:pPr>
        <w:pStyle w:val="ListParagraph"/>
        <w:numPr>
          <w:ilvl w:val="1"/>
          <w:numId w:val="3"/>
        </w:numPr>
        <w:spacing w:before="240"/>
        <w:contextualSpacing w:val="0"/>
        <w:rPr>
          <w:rFonts w:cs="Arial"/>
          <w:szCs w:val="24"/>
        </w:rPr>
      </w:pPr>
      <w:r w:rsidRPr="005D793C">
        <w:rPr>
          <w:rFonts w:cs="Arial"/>
          <w:szCs w:val="24"/>
        </w:rPr>
        <w:t xml:space="preserve">Catégorie d’entrepôt : BL hors </w:t>
      </w:r>
      <w:r w:rsidR="007F0701">
        <w:rPr>
          <w:rFonts w:cs="Arial"/>
          <w:szCs w:val="24"/>
        </w:rPr>
        <w:t>site</w:t>
      </w:r>
    </w:p>
    <w:p w14:paraId="3A0BF3C3"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77934D9D"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marchandises diverses</w:t>
      </w:r>
    </w:p>
    <w:p w14:paraId="69156EB4" w14:textId="04AC9B40"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Mode</w:t>
      </w:r>
      <w:r w:rsidR="007F0701">
        <w:rPr>
          <w:rFonts w:ascii="Arial" w:hAnsi="Arial" w:cs="Arial"/>
          <w:sz w:val="24"/>
          <w:szCs w:val="24"/>
          <w:lang w:val="fr-CA"/>
        </w:rPr>
        <w:t> </w:t>
      </w:r>
      <w:r w:rsidRPr="008615BE">
        <w:rPr>
          <w:rFonts w:ascii="Arial" w:hAnsi="Arial" w:cs="Arial"/>
          <w:sz w:val="24"/>
          <w:szCs w:val="24"/>
          <w:lang w:val="fr-CA"/>
        </w:rPr>
        <w:t>: routier</w:t>
      </w:r>
    </w:p>
    <w:p w14:paraId="7644D42B"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non</w:t>
      </w:r>
    </w:p>
    <w:p w14:paraId="498C5B39" w14:textId="78C8A971"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28947F3D" w14:textId="77777777"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 à la discrétion de la région</w:t>
      </w:r>
    </w:p>
    <w:p w14:paraId="63E1FF5B" w14:textId="6CCC8E09"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Autorité déléguée </w:t>
      </w:r>
      <w:r w:rsidR="007F0701" w:rsidRPr="007F0701">
        <w:rPr>
          <w:rFonts w:ascii="Arial" w:hAnsi="Arial" w:cs="Arial"/>
          <w:sz w:val="24"/>
          <w:szCs w:val="24"/>
          <w:lang w:val="fr-CA"/>
        </w:rPr>
        <w:t>d’agrément</w:t>
      </w:r>
      <w:r w:rsidRPr="008615BE">
        <w:rPr>
          <w:rFonts w:ascii="Arial" w:hAnsi="Arial" w:cs="Arial"/>
          <w:sz w:val="24"/>
          <w:szCs w:val="24"/>
          <w:lang w:val="fr-CA"/>
        </w:rPr>
        <w:t> : région</w:t>
      </w:r>
    </w:p>
    <w:p w14:paraId="700E28BD" w14:textId="7E71DA6A" w:rsidR="005D793C" w:rsidRPr="008615BE" w:rsidRDefault="005D793C" w:rsidP="005D793C">
      <w:pPr>
        <w:spacing w:after="0" w:line="345" w:lineRule="exact"/>
        <w:ind w:left="1440"/>
        <w:rPr>
          <w:rFonts w:ascii="Arial" w:hAnsi="Arial" w:cs="Arial"/>
          <w:sz w:val="24"/>
          <w:szCs w:val="24"/>
          <w:lang w:val="fr-CA"/>
        </w:rPr>
      </w:pPr>
      <w:r w:rsidRPr="008615BE">
        <w:rPr>
          <w:rFonts w:ascii="Arial" w:hAnsi="Arial" w:cs="Arial"/>
          <w:sz w:val="24"/>
          <w:szCs w:val="24"/>
          <w:lang w:val="fr-CA"/>
        </w:rPr>
        <w:t>Autres restrictions</w:t>
      </w:r>
      <w:r w:rsidR="00A0148D">
        <w:rPr>
          <w:rFonts w:ascii="Arial" w:hAnsi="Arial" w:cs="Arial"/>
          <w:sz w:val="24"/>
          <w:szCs w:val="24"/>
          <w:lang w:val="fr-CA"/>
        </w:rPr>
        <w:t> </w:t>
      </w:r>
      <w:r w:rsidRPr="008615BE">
        <w:rPr>
          <w:rFonts w:ascii="Arial" w:hAnsi="Arial" w:cs="Arial"/>
          <w:sz w:val="24"/>
          <w:szCs w:val="24"/>
          <w:lang w:val="fr-CA"/>
        </w:rPr>
        <w:t>: fret en conteneur seulement</w:t>
      </w:r>
    </w:p>
    <w:p w14:paraId="21BB285E" w14:textId="451944E5" w:rsidR="005D793C" w:rsidRPr="005D793C" w:rsidRDefault="005D793C" w:rsidP="005D793C">
      <w:pPr>
        <w:pStyle w:val="Heading3"/>
      </w:pPr>
      <w:bookmarkStart w:id="126" w:name="_Catégorie_C_–"/>
      <w:bookmarkEnd w:id="126"/>
      <w:r w:rsidRPr="008615BE">
        <w:lastRenderedPageBreak/>
        <w:t xml:space="preserve">Catégorie C – </w:t>
      </w:r>
      <w:r w:rsidR="002D2362">
        <w:t>m</w:t>
      </w:r>
      <w:r w:rsidRPr="008615BE">
        <w:t>archandises diverses</w:t>
      </w:r>
    </w:p>
    <w:p w14:paraId="4C1A0EDF" w14:textId="77777777" w:rsidR="005D793C" w:rsidRDefault="008615BE" w:rsidP="008615BE">
      <w:pPr>
        <w:pStyle w:val="ListParagraph"/>
        <w:numPr>
          <w:ilvl w:val="0"/>
          <w:numId w:val="3"/>
        </w:numPr>
        <w:spacing w:before="240"/>
        <w:contextualSpacing w:val="0"/>
        <w:rPr>
          <w:rFonts w:cs="Arial"/>
          <w:szCs w:val="24"/>
        </w:rPr>
      </w:pPr>
      <w:r w:rsidRPr="005D793C">
        <w:rPr>
          <w:rFonts w:cs="Arial"/>
          <w:szCs w:val="24"/>
        </w:rPr>
        <w:t>Les entrepôts d’attente de catégorie C sont exploités par des tiers pour l’entreposage, le dégroupement et le tri des importations. Ils sont aussi utilisés pour grouper les expéditions selon leur destination. Les entrepôts d’attente de catégorie C sont classés dans la sous</w:t>
      </w:r>
      <w:r w:rsidRPr="005D793C">
        <w:rPr>
          <w:rFonts w:cs="Arial"/>
          <w:szCs w:val="24"/>
        </w:rPr>
        <w:noBreakHyphen/>
        <w:t>catégorie suivante :</w:t>
      </w:r>
    </w:p>
    <w:p w14:paraId="4801AD51" w14:textId="5F658D4F" w:rsidR="005D793C" w:rsidRPr="005D793C" w:rsidRDefault="005D793C" w:rsidP="005D793C">
      <w:pPr>
        <w:pStyle w:val="Heading4"/>
      </w:pPr>
      <w:r w:rsidRPr="008615BE">
        <w:t>Catégorie CW</w:t>
      </w:r>
    </w:p>
    <w:p w14:paraId="63E9746D" w14:textId="77777777" w:rsidR="005D793C" w:rsidRDefault="008615BE" w:rsidP="008615BE">
      <w:pPr>
        <w:pStyle w:val="ListParagraph"/>
        <w:numPr>
          <w:ilvl w:val="0"/>
          <w:numId w:val="3"/>
        </w:numPr>
        <w:spacing w:before="240"/>
        <w:contextualSpacing w:val="0"/>
        <w:rPr>
          <w:rFonts w:cs="Arial"/>
          <w:szCs w:val="24"/>
        </w:rPr>
      </w:pPr>
      <w:r w:rsidRPr="005D793C">
        <w:rPr>
          <w:rFonts w:cs="Arial"/>
          <w:szCs w:val="24"/>
        </w:rPr>
        <w:t xml:space="preserve">Les entrepôts de catégorie CW sont exploités par un groupeur, un </w:t>
      </w:r>
      <w:proofErr w:type="spellStart"/>
      <w:r w:rsidRPr="005D793C">
        <w:rPr>
          <w:rFonts w:cs="Arial"/>
          <w:szCs w:val="24"/>
        </w:rPr>
        <w:t>dégroupeur</w:t>
      </w:r>
      <w:proofErr w:type="spellEnd"/>
      <w:r w:rsidRPr="005D793C">
        <w:rPr>
          <w:rFonts w:cs="Arial"/>
          <w:szCs w:val="24"/>
        </w:rPr>
        <w:t>, un agent d’expédition cautionné ou un courtier en douane.</w:t>
      </w:r>
    </w:p>
    <w:p w14:paraId="4738E909" w14:textId="70D50B1E" w:rsidR="005D793C" w:rsidRDefault="008615BE" w:rsidP="008615BE">
      <w:pPr>
        <w:pStyle w:val="ListParagraph"/>
        <w:numPr>
          <w:ilvl w:val="0"/>
          <w:numId w:val="3"/>
        </w:numPr>
        <w:spacing w:before="240"/>
        <w:contextualSpacing w:val="0"/>
        <w:rPr>
          <w:rFonts w:cs="Arial"/>
          <w:szCs w:val="24"/>
        </w:rPr>
      </w:pPr>
      <w:r w:rsidRPr="005D793C">
        <w:rPr>
          <w:rFonts w:cs="Arial"/>
          <w:szCs w:val="24"/>
        </w:rPr>
        <w:t xml:space="preserve">Pour obtenir un agrément </w:t>
      </w:r>
      <w:r w:rsidR="00736C05">
        <w:rPr>
          <w:rFonts w:cs="Arial"/>
          <w:szCs w:val="24"/>
        </w:rPr>
        <w:t>d’</w:t>
      </w:r>
      <w:r w:rsidRPr="005D793C">
        <w:rPr>
          <w:rFonts w:cs="Arial"/>
          <w:szCs w:val="24"/>
        </w:rPr>
        <w:t>exploitation d’un entrepôt d’attente de catégorie CW, le demandeur doit satisfaire à toutes les exigences réglementaires en ce qui concerne le volume d’affaires, la stabilité financière, ainsi que la structure et l’emplacement du bâtiment. L’ASFC peut rejeter sa demande si l’installation proposée ne se trouve pas à une distance raisonnable de l’endroit où un service du secteur commercial de l’ASFC est fourni, selon le jugement de l’ASFC. La demande peut aussi être rejetée si l’ASFC établit que la prestation de services à l’installation proposée réduirait les niveaux de service qui sont offerts à d’autres emplacements approuvés.</w:t>
      </w:r>
    </w:p>
    <w:p w14:paraId="08A0FE2C" w14:textId="77777777" w:rsidR="005D793C" w:rsidRDefault="008615BE" w:rsidP="008615BE">
      <w:pPr>
        <w:pStyle w:val="ListParagraph"/>
        <w:numPr>
          <w:ilvl w:val="0"/>
          <w:numId w:val="3"/>
        </w:numPr>
        <w:spacing w:before="240"/>
        <w:contextualSpacing w:val="0"/>
        <w:rPr>
          <w:rFonts w:cs="Arial"/>
          <w:szCs w:val="24"/>
        </w:rPr>
      </w:pPr>
      <w:r w:rsidRPr="005D793C">
        <w:rPr>
          <w:rFonts w:cs="Arial"/>
          <w:szCs w:val="24"/>
        </w:rPr>
        <w:t>Dans les emplacements où l’ASFC offre un service à temps plein, le demandeur doit être prêt à financer l’installation et l’entretien de l’équipement technologique et/ou les mises à niveau dont l’ASFC aura besoin.</w:t>
      </w:r>
    </w:p>
    <w:p w14:paraId="0F7319A5" w14:textId="77777777" w:rsidR="00B84819" w:rsidRDefault="008615BE" w:rsidP="008615BE">
      <w:pPr>
        <w:pStyle w:val="ListParagraph"/>
        <w:numPr>
          <w:ilvl w:val="0"/>
          <w:numId w:val="3"/>
        </w:numPr>
        <w:spacing w:before="240"/>
        <w:contextualSpacing w:val="0"/>
        <w:rPr>
          <w:rFonts w:cs="Arial"/>
          <w:szCs w:val="24"/>
        </w:rPr>
      </w:pPr>
      <w:r w:rsidRPr="005D793C">
        <w:rPr>
          <w:rFonts w:cs="Arial"/>
          <w:szCs w:val="24"/>
        </w:rPr>
        <w:t>Les fonctionnaires régionaux déterminent l’endroit où les documents de mainlevée seront traités dans leur région.</w:t>
      </w:r>
    </w:p>
    <w:p w14:paraId="347D24AA" w14:textId="38186C6B" w:rsidR="00B84819" w:rsidRDefault="008615BE" w:rsidP="008615BE">
      <w:pPr>
        <w:pStyle w:val="ListParagraph"/>
        <w:numPr>
          <w:ilvl w:val="0"/>
          <w:numId w:val="3"/>
        </w:numPr>
        <w:spacing w:before="240"/>
        <w:contextualSpacing w:val="0"/>
        <w:rPr>
          <w:rFonts w:cs="Arial"/>
          <w:szCs w:val="24"/>
        </w:rPr>
      </w:pPr>
      <w:r w:rsidRPr="00B84819">
        <w:rPr>
          <w:rFonts w:cs="Arial"/>
          <w:szCs w:val="24"/>
        </w:rPr>
        <w:t xml:space="preserve">L’ASFC peut étudier une demande d’agrément </w:t>
      </w:r>
      <w:r w:rsidR="00B97BCF">
        <w:rPr>
          <w:rFonts w:cs="Arial"/>
          <w:szCs w:val="24"/>
        </w:rPr>
        <w:t>d’</w:t>
      </w:r>
      <w:r w:rsidRPr="00B84819">
        <w:rPr>
          <w:rFonts w:cs="Arial"/>
          <w:szCs w:val="24"/>
        </w:rPr>
        <w:t>exploitation d’un entrepôt d’attente de catégorie CW qui n’est pas situé sur la propriété d’un aéroport si elle est en mesure d’offrir le service. L’approbation est aussi assujettie aux conditions suivantes :</w:t>
      </w:r>
    </w:p>
    <w:p w14:paraId="38A68D75" w14:textId="77777777" w:rsidR="00B84819" w:rsidRDefault="008615BE" w:rsidP="008615BE">
      <w:pPr>
        <w:pStyle w:val="ListParagraph"/>
        <w:numPr>
          <w:ilvl w:val="1"/>
          <w:numId w:val="3"/>
        </w:numPr>
        <w:spacing w:before="240"/>
        <w:contextualSpacing w:val="0"/>
        <w:rPr>
          <w:rFonts w:cs="Arial"/>
          <w:szCs w:val="24"/>
        </w:rPr>
      </w:pPr>
      <w:r w:rsidRPr="00B84819">
        <w:rPr>
          <w:rFonts w:cs="Arial"/>
          <w:szCs w:val="24"/>
        </w:rPr>
        <w:t>chaque région de l’ASFC décide s’il est nécessaire d’imposer des restrictions géographiques sur l’emplacement des entrepôts situés hors de l’aéroport;</w:t>
      </w:r>
    </w:p>
    <w:p w14:paraId="2237F884" w14:textId="64A802F6" w:rsidR="00B84819" w:rsidRDefault="008615BE" w:rsidP="008615BE">
      <w:pPr>
        <w:pStyle w:val="ListParagraph"/>
        <w:numPr>
          <w:ilvl w:val="1"/>
          <w:numId w:val="3"/>
        </w:numPr>
        <w:spacing w:before="240"/>
        <w:contextualSpacing w:val="0"/>
        <w:rPr>
          <w:rFonts w:cs="Arial"/>
          <w:szCs w:val="24"/>
        </w:rPr>
      </w:pPr>
      <w:r w:rsidRPr="00B84819">
        <w:rPr>
          <w:rFonts w:cs="Arial"/>
          <w:szCs w:val="24"/>
        </w:rPr>
        <w:lastRenderedPageBreak/>
        <w:t>lorsque l’ASFC n’est pas en mesure d’offrir un service directement à ces entrepôts situés hors de l’aéroport, les exploitants doivent prendre des arrangements avec un autre entrepôt d’attente pour le traitement des marchandises à examiner après avoir obtenu l’approbation de l’ASFC à cet égard;</w:t>
      </w:r>
    </w:p>
    <w:p w14:paraId="3D30D2A7" w14:textId="77777777" w:rsidR="00B84819" w:rsidRDefault="008615BE" w:rsidP="008615BE">
      <w:pPr>
        <w:pStyle w:val="ListParagraph"/>
        <w:numPr>
          <w:ilvl w:val="1"/>
          <w:numId w:val="3"/>
        </w:numPr>
        <w:spacing w:before="240"/>
        <w:contextualSpacing w:val="0"/>
        <w:rPr>
          <w:rFonts w:cs="Arial"/>
          <w:szCs w:val="24"/>
        </w:rPr>
      </w:pPr>
      <w:r w:rsidRPr="00B84819">
        <w:rPr>
          <w:rFonts w:cs="Arial"/>
          <w:szCs w:val="24"/>
        </w:rPr>
        <w:t>les fonctionnaires régionaux de l’ASFC déterminent l’endroit où les documents de mainlevée seront traités dans leur région.</w:t>
      </w:r>
    </w:p>
    <w:p w14:paraId="59BB6355" w14:textId="1C867C26" w:rsidR="00B84819" w:rsidRPr="00B84819" w:rsidRDefault="00B84819" w:rsidP="00B84819">
      <w:pPr>
        <w:pStyle w:val="Heading4"/>
        <w:rPr>
          <w:szCs w:val="32"/>
        </w:rPr>
      </w:pPr>
      <w:bookmarkStart w:id="127" w:name="_Hlk214013471"/>
      <w:r w:rsidRPr="005D793C">
        <w:rPr>
          <w:bCs/>
        </w:rPr>
        <w:t>Catégorie </w:t>
      </w:r>
      <w:r>
        <w:rPr>
          <w:bCs/>
        </w:rPr>
        <w:t xml:space="preserve">C </w:t>
      </w:r>
      <w:r w:rsidR="005036CC">
        <w:rPr>
          <w:bCs/>
        </w:rPr>
        <w:t>–</w:t>
      </w:r>
      <w:r>
        <w:rPr>
          <w:bCs/>
        </w:rPr>
        <w:t xml:space="preserve"> </w:t>
      </w:r>
      <w:r w:rsidR="002D2362">
        <w:rPr>
          <w:bCs/>
        </w:rPr>
        <w:t>e</w:t>
      </w:r>
      <w:r w:rsidRPr="005D793C">
        <w:rPr>
          <w:bCs/>
        </w:rPr>
        <w:t>xigences</w:t>
      </w:r>
      <w:r w:rsidRPr="008615BE">
        <w:t xml:space="preserve"> et restrictions relatives aux entrepôts d’attente</w:t>
      </w:r>
      <w:bookmarkEnd w:id="127"/>
    </w:p>
    <w:p w14:paraId="424F4B51" w14:textId="77777777" w:rsidR="00B84819" w:rsidRDefault="008615BE" w:rsidP="008615BE">
      <w:pPr>
        <w:pStyle w:val="ListParagraph"/>
        <w:numPr>
          <w:ilvl w:val="0"/>
          <w:numId w:val="3"/>
        </w:numPr>
        <w:spacing w:before="240"/>
        <w:contextualSpacing w:val="0"/>
        <w:rPr>
          <w:rFonts w:cs="Arial"/>
          <w:szCs w:val="24"/>
        </w:rPr>
      </w:pPr>
      <w:r w:rsidRPr="00880932">
        <w:rPr>
          <w:rFonts w:cs="Arial"/>
          <w:color w:val="000000" w:themeColor="text1"/>
          <w:szCs w:val="24"/>
        </w:rPr>
        <w:t xml:space="preserve">Les exigences </w:t>
      </w:r>
      <w:r w:rsidRPr="00B84819">
        <w:rPr>
          <w:rFonts w:cs="Arial"/>
          <w:szCs w:val="24"/>
        </w:rPr>
        <w:t>et restrictions pour exploiter un entrepôt d’attente de catégorie CW sont les suivantes :</w:t>
      </w:r>
    </w:p>
    <w:p w14:paraId="3E076887" w14:textId="77777777" w:rsidR="00B84819" w:rsidRDefault="008615BE" w:rsidP="008615BE">
      <w:pPr>
        <w:pStyle w:val="ListParagraph"/>
        <w:numPr>
          <w:ilvl w:val="1"/>
          <w:numId w:val="3"/>
        </w:numPr>
        <w:spacing w:before="240"/>
        <w:contextualSpacing w:val="0"/>
        <w:rPr>
          <w:rFonts w:cs="Arial"/>
          <w:szCs w:val="24"/>
        </w:rPr>
      </w:pPr>
      <w:r w:rsidRPr="00B84819">
        <w:rPr>
          <w:rFonts w:cs="Arial"/>
          <w:szCs w:val="24"/>
        </w:rPr>
        <w:t>Catégorie d’entrepôt : CW</w:t>
      </w:r>
    </w:p>
    <w:p w14:paraId="197A1831" w14:textId="0280C1B7" w:rsidR="00B84819" w:rsidRPr="008615BE" w:rsidRDefault="00B84819" w:rsidP="00B84819">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w:t>
      </w:r>
      <w:r w:rsidR="003E2EDA">
        <w:rPr>
          <w:rFonts w:ascii="Arial" w:hAnsi="Arial" w:cs="Arial"/>
          <w:sz w:val="24"/>
          <w:szCs w:val="24"/>
          <w:lang w:val="fr-CA"/>
        </w:rPr>
        <w:t> </w:t>
      </w:r>
      <w:r w:rsidRPr="008615BE">
        <w:rPr>
          <w:rFonts w:ascii="Arial" w:hAnsi="Arial" w:cs="Arial"/>
          <w:sz w:val="24"/>
          <w:szCs w:val="24"/>
          <w:lang w:val="fr-CA"/>
        </w:rPr>
        <w:t xml:space="preserve">: livraison directe </w:t>
      </w:r>
      <w:r w:rsidR="003E2EDA">
        <w:rPr>
          <w:rFonts w:ascii="Arial" w:hAnsi="Arial" w:cs="Arial"/>
          <w:sz w:val="24"/>
          <w:szCs w:val="24"/>
          <w:lang w:val="fr-CA"/>
        </w:rPr>
        <w:t>–</w:t>
      </w:r>
      <w:r w:rsidRPr="008615BE">
        <w:rPr>
          <w:rFonts w:ascii="Arial" w:hAnsi="Arial" w:cs="Arial"/>
          <w:sz w:val="24"/>
          <w:szCs w:val="24"/>
          <w:lang w:val="fr-CA"/>
        </w:rPr>
        <w:t xml:space="preserve"> non. Les exceptions à cette règle sont les mouvements terrestres, transfrontaliers et en transit direct air-mer.</w:t>
      </w:r>
      <w:r w:rsidR="003E2EDA">
        <w:rPr>
          <w:rFonts w:ascii="Arial" w:hAnsi="Arial" w:cs="Arial"/>
          <w:sz w:val="24"/>
          <w:szCs w:val="24"/>
          <w:lang w:val="fr-CA"/>
        </w:rPr>
        <w:t xml:space="preserve"> </w:t>
      </w:r>
      <w:r w:rsidRPr="008615BE">
        <w:rPr>
          <w:rFonts w:ascii="Arial" w:hAnsi="Arial" w:cs="Arial"/>
          <w:sz w:val="24"/>
          <w:szCs w:val="24"/>
          <w:lang w:val="fr-CA"/>
        </w:rPr>
        <w:t xml:space="preserve">De plus, la livraison directe peut également être autorisée dans les situations mentionnées au paragraphe 143. </w:t>
      </w:r>
    </w:p>
    <w:p w14:paraId="7BFEDFBF" w14:textId="77777777" w:rsidR="00B84819" w:rsidRPr="008615BE" w:rsidRDefault="00B84819" w:rsidP="00B84819">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marchandises diverses</w:t>
      </w:r>
    </w:p>
    <w:p w14:paraId="7BDA9B51" w14:textId="2094414E" w:rsidR="00B84819" w:rsidRPr="008615BE" w:rsidRDefault="00B84819" w:rsidP="00B84819">
      <w:pPr>
        <w:spacing w:after="0" w:line="345" w:lineRule="exact"/>
        <w:ind w:left="1440"/>
        <w:rPr>
          <w:rFonts w:ascii="Arial" w:hAnsi="Arial" w:cs="Arial"/>
          <w:sz w:val="24"/>
          <w:szCs w:val="24"/>
          <w:lang w:val="fr-CA"/>
        </w:rPr>
      </w:pPr>
      <w:r w:rsidRPr="008615BE">
        <w:rPr>
          <w:rFonts w:ascii="Arial" w:hAnsi="Arial" w:cs="Arial"/>
          <w:sz w:val="24"/>
          <w:szCs w:val="24"/>
          <w:lang w:val="fr-CA"/>
        </w:rPr>
        <w:t>Mode</w:t>
      </w:r>
      <w:r w:rsidR="00B03CFE">
        <w:rPr>
          <w:rFonts w:ascii="Arial" w:hAnsi="Arial" w:cs="Arial"/>
          <w:sz w:val="24"/>
          <w:szCs w:val="24"/>
          <w:lang w:val="fr-CA"/>
        </w:rPr>
        <w:t> </w:t>
      </w:r>
      <w:r w:rsidRPr="008615BE">
        <w:rPr>
          <w:rFonts w:ascii="Arial" w:hAnsi="Arial" w:cs="Arial"/>
          <w:sz w:val="24"/>
          <w:szCs w:val="24"/>
          <w:lang w:val="fr-CA"/>
        </w:rPr>
        <w:t>: aérien, ferroviaire, maritime, routier</w:t>
      </w:r>
    </w:p>
    <w:p w14:paraId="0C85793A" w14:textId="77777777" w:rsidR="00B84819" w:rsidRPr="008615BE" w:rsidRDefault="00B84819" w:rsidP="00B84819">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oui</w:t>
      </w:r>
    </w:p>
    <w:p w14:paraId="778850DA" w14:textId="1D0DA511" w:rsidR="00B84819" w:rsidRPr="008615BE" w:rsidRDefault="00B84819" w:rsidP="00B84819">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4392B088" w14:textId="77777777" w:rsidR="00B84819" w:rsidRPr="008615BE" w:rsidRDefault="00B84819" w:rsidP="00B84819">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 à la discrétion de la région</w:t>
      </w:r>
    </w:p>
    <w:p w14:paraId="6D8B3CA0" w14:textId="729A0D2D" w:rsidR="00B84819" w:rsidRPr="008615BE" w:rsidRDefault="00B84819" w:rsidP="00B84819">
      <w:pPr>
        <w:spacing w:after="0" w:line="345" w:lineRule="exact"/>
        <w:ind w:left="1440"/>
        <w:rPr>
          <w:rFonts w:ascii="Arial" w:hAnsi="Arial" w:cs="Arial"/>
          <w:sz w:val="24"/>
          <w:szCs w:val="24"/>
          <w:lang w:val="fr-CA"/>
        </w:rPr>
      </w:pPr>
      <w:r w:rsidRPr="008615BE">
        <w:rPr>
          <w:rFonts w:ascii="Arial" w:hAnsi="Arial" w:cs="Arial"/>
          <w:sz w:val="24"/>
          <w:szCs w:val="24"/>
          <w:lang w:val="fr-CA"/>
        </w:rPr>
        <w:t>Autorité déléguée d</w:t>
      </w:r>
      <w:r w:rsidR="00B03CFE">
        <w:rPr>
          <w:rFonts w:ascii="Arial" w:hAnsi="Arial" w:cs="Arial"/>
          <w:sz w:val="24"/>
          <w:szCs w:val="24"/>
          <w:lang w:val="fr-CA"/>
        </w:rPr>
        <w:t>’agrément</w:t>
      </w:r>
      <w:r w:rsidRPr="008615BE">
        <w:rPr>
          <w:rFonts w:ascii="Arial" w:hAnsi="Arial" w:cs="Arial"/>
          <w:sz w:val="24"/>
          <w:szCs w:val="24"/>
          <w:lang w:val="fr-CA"/>
        </w:rPr>
        <w:t> : région</w:t>
      </w:r>
    </w:p>
    <w:p w14:paraId="1FC6FE2D" w14:textId="1AF85EE7" w:rsidR="00B84819" w:rsidRPr="00B84819" w:rsidRDefault="00B84819" w:rsidP="00B84819">
      <w:pPr>
        <w:spacing w:after="0" w:line="345" w:lineRule="exact"/>
        <w:ind w:left="1440"/>
        <w:rPr>
          <w:rFonts w:ascii="Arial" w:hAnsi="Arial" w:cs="Arial"/>
          <w:sz w:val="24"/>
          <w:szCs w:val="24"/>
          <w:lang w:val="fr-CA"/>
        </w:rPr>
      </w:pPr>
      <w:r w:rsidRPr="008615BE">
        <w:rPr>
          <w:rFonts w:ascii="Arial" w:hAnsi="Arial" w:cs="Arial"/>
          <w:sz w:val="24"/>
          <w:szCs w:val="24"/>
          <w:lang w:val="fr-CA"/>
        </w:rPr>
        <w:t>Autres restrictions</w:t>
      </w:r>
      <w:r w:rsidR="00B03CFE">
        <w:rPr>
          <w:rFonts w:ascii="Arial" w:hAnsi="Arial" w:cs="Arial"/>
          <w:sz w:val="24"/>
          <w:szCs w:val="24"/>
          <w:lang w:val="fr-CA"/>
        </w:rPr>
        <w:t> </w:t>
      </w:r>
      <w:r w:rsidRPr="008615BE">
        <w:rPr>
          <w:rFonts w:ascii="Arial" w:hAnsi="Arial" w:cs="Arial"/>
          <w:sz w:val="24"/>
          <w:szCs w:val="24"/>
          <w:lang w:val="fr-CA"/>
        </w:rPr>
        <w:t>: exploité par une tierce partie pour l’entreposage, le groupement, le dégroupement, le tri</w:t>
      </w:r>
      <w:r w:rsidR="002D2362">
        <w:rPr>
          <w:rFonts w:ascii="Arial" w:hAnsi="Arial" w:cs="Arial"/>
          <w:sz w:val="24"/>
          <w:szCs w:val="24"/>
          <w:lang w:val="fr-CA"/>
        </w:rPr>
        <w:t>.</w:t>
      </w:r>
    </w:p>
    <w:p w14:paraId="07365F51" w14:textId="2F82433C" w:rsidR="00B84819" w:rsidRDefault="008615BE" w:rsidP="008615BE">
      <w:pPr>
        <w:pStyle w:val="ListParagraph"/>
        <w:numPr>
          <w:ilvl w:val="0"/>
          <w:numId w:val="3"/>
        </w:numPr>
        <w:spacing w:before="240"/>
        <w:contextualSpacing w:val="0"/>
        <w:rPr>
          <w:rFonts w:cs="Arial"/>
          <w:szCs w:val="24"/>
        </w:rPr>
      </w:pPr>
      <w:r w:rsidRPr="00B84819">
        <w:rPr>
          <w:rFonts w:cs="Arial"/>
          <w:szCs w:val="24"/>
        </w:rPr>
        <w:t>Les expéditions groupées destinées à un agent d’expédition et déclarées par le transporteur principal au premier point d’arrivée (PPA) peuvent être autorisées par l’ASFC pour le transport direct à l’entrepôt d’attente de catégorie CW de l’agent d’expédition selon le code de sous</w:t>
      </w:r>
      <w:r w:rsidRPr="00B84819">
        <w:rPr>
          <w:rFonts w:cs="Arial"/>
          <w:szCs w:val="24"/>
        </w:rPr>
        <w:noBreakHyphen/>
        <w:t>emplacement d’entrepôt figurant sur le document du fret fourni par le transporteur principal, quand les conditions ci</w:t>
      </w:r>
      <w:r w:rsidRPr="00B84819">
        <w:rPr>
          <w:rFonts w:cs="Arial"/>
          <w:szCs w:val="24"/>
        </w:rPr>
        <w:noBreakHyphen/>
        <w:t xml:space="preserve">dessous sont </w:t>
      </w:r>
      <w:r w:rsidR="00DC3E06">
        <w:rPr>
          <w:rFonts w:cs="Arial"/>
          <w:szCs w:val="24"/>
        </w:rPr>
        <w:t>remplis</w:t>
      </w:r>
      <w:r w:rsidR="00DC3E06" w:rsidRPr="00B84819">
        <w:rPr>
          <w:rFonts w:cs="Arial"/>
          <w:szCs w:val="24"/>
        </w:rPr>
        <w:t> </w:t>
      </w:r>
      <w:r w:rsidRPr="00B84819">
        <w:rPr>
          <w:rFonts w:cs="Arial"/>
          <w:szCs w:val="24"/>
        </w:rPr>
        <w:t xml:space="preserve">: </w:t>
      </w:r>
    </w:p>
    <w:p w14:paraId="0ADAA33B" w14:textId="2DE82D4C" w:rsidR="00B84819" w:rsidRDefault="008615BE" w:rsidP="008615BE">
      <w:pPr>
        <w:pStyle w:val="ListParagraph"/>
        <w:numPr>
          <w:ilvl w:val="1"/>
          <w:numId w:val="3"/>
        </w:numPr>
        <w:spacing w:before="240"/>
        <w:contextualSpacing w:val="0"/>
        <w:rPr>
          <w:rFonts w:cs="Arial"/>
          <w:szCs w:val="24"/>
        </w:rPr>
      </w:pPr>
      <w:r w:rsidRPr="00B84819">
        <w:rPr>
          <w:rFonts w:cs="Arial"/>
          <w:szCs w:val="24"/>
        </w:rPr>
        <w:lastRenderedPageBreak/>
        <w:t>l’information sur le fret avant l’arrivée du transporteur produisant la déclaration doit comprendre ce qui suit : l’agent d’expédition est le destinataire et l’indicateur de groupement est réglé à « O »;</w:t>
      </w:r>
    </w:p>
    <w:p w14:paraId="3BF1AD00" w14:textId="5DD9E10F" w:rsidR="00B84819" w:rsidRDefault="008615BE" w:rsidP="008615BE">
      <w:pPr>
        <w:pStyle w:val="ListParagraph"/>
        <w:numPr>
          <w:ilvl w:val="1"/>
          <w:numId w:val="3"/>
        </w:numPr>
        <w:spacing w:before="240"/>
        <w:contextualSpacing w:val="0"/>
        <w:rPr>
          <w:rFonts w:cs="Arial"/>
          <w:szCs w:val="24"/>
        </w:rPr>
      </w:pPr>
      <w:r w:rsidRPr="00B84819">
        <w:rPr>
          <w:rFonts w:cs="Arial"/>
          <w:szCs w:val="24"/>
        </w:rPr>
        <w:t xml:space="preserve">l’information sur les </w:t>
      </w:r>
      <w:r w:rsidR="007B51A3">
        <w:rPr>
          <w:rFonts w:cs="Arial"/>
          <w:szCs w:val="24"/>
        </w:rPr>
        <w:t>connaissements internes</w:t>
      </w:r>
      <w:r w:rsidRPr="00B84819">
        <w:rPr>
          <w:rFonts w:cs="Arial"/>
          <w:szCs w:val="24"/>
        </w:rPr>
        <w:t xml:space="preserve"> secondaires avant l’arrivée figure au dossier et le statut indique l’arrivée au PPA;</w:t>
      </w:r>
    </w:p>
    <w:p w14:paraId="145E85BC" w14:textId="17BAC395" w:rsidR="00B84819" w:rsidRDefault="008615BE" w:rsidP="008615BE">
      <w:pPr>
        <w:pStyle w:val="ListParagraph"/>
        <w:numPr>
          <w:ilvl w:val="1"/>
          <w:numId w:val="3"/>
        </w:numPr>
        <w:spacing w:before="240"/>
        <w:contextualSpacing w:val="0"/>
        <w:rPr>
          <w:rFonts w:cs="Arial"/>
          <w:szCs w:val="24"/>
        </w:rPr>
      </w:pPr>
      <w:r w:rsidRPr="00B84819">
        <w:rPr>
          <w:rFonts w:cs="Arial"/>
          <w:szCs w:val="24"/>
        </w:rPr>
        <w:t>le transporteur produisant la déclaration est cautionné (s’il y a lieu) et demeure responsable des marchandises déclarées jusqu’au transfert de responsabilité à l’entrepôt de destination;</w:t>
      </w:r>
    </w:p>
    <w:p w14:paraId="18391DDA" w14:textId="51DE290E" w:rsidR="00B84819" w:rsidRDefault="008615BE" w:rsidP="008615BE">
      <w:pPr>
        <w:pStyle w:val="ListParagraph"/>
        <w:numPr>
          <w:ilvl w:val="1"/>
          <w:numId w:val="3"/>
        </w:numPr>
        <w:spacing w:before="240"/>
        <w:contextualSpacing w:val="0"/>
        <w:rPr>
          <w:rFonts w:cs="Arial"/>
          <w:szCs w:val="24"/>
        </w:rPr>
      </w:pPr>
      <w:r w:rsidRPr="00B84819">
        <w:rPr>
          <w:rFonts w:cs="Arial"/>
          <w:szCs w:val="24"/>
        </w:rPr>
        <w:t xml:space="preserve">l’exploitant de l’entrepôt d’attente qui reçoit le fret transmet par voie électronique un Message d’attestation d’arrivée </w:t>
      </w:r>
      <w:r w:rsidR="00094E20">
        <w:rPr>
          <w:rFonts w:cs="Arial"/>
          <w:szCs w:val="24"/>
        </w:rPr>
        <w:t>en</w:t>
      </w:r>
      <w:r w:rsidRPr="00B84819">
        <w:rPr>
          <w:rFonts w:cs="Arial"/>
          <w:szCs w:val="24"/>
        </w:rPr>
        <w:t xml:space="preserve"> entrepôt (MAAE) </w:t>
      </w:r>
      <w:r w:rsidR="002168A7">
        <w:rPr>
          <w:rFonts w:cs="Arial"/>
          <w:szCs w:val="24"/>
        </w:rPr>
        <w:t>comm</w:t>
      </w:r>
      <w:r w:rsidRPr="00B84819">
        <w:rPr>
          <w:rFonts w:cs="Arial"/>
          <w:szCs w:val="24"/>
        </w:rPr>
        <w:t xml:space="preserve">e </w:t>
      </w:r>
      <w:r w:rsidR="00691A8A">
        <w:rPr>
          <w:rFonts w:cs="Arial"/>
          <w:szCs w:val="24"/>
        </w:rPr>
        <w:t xml:space="preserve">le prévoit </w:t>
      </w:r>
      <w:r w:rsidRPr="00B84819">
        <w:rPr>
          <w:rFonts w:cs="Arial"/>
          <w:szCs w:val="24"/>
        </w:rPr>
        <w:t xml:space="preserve">l’article 14 du </w:t>
      </w:r>
      <w:r w:rsidRPr="00094E20">
        <w:rPr>
          <w:rFonts w:cs="Arial"/>
          <w:i/>
          <w:iCs/>
          <w:szCs w:val="24"/>
        </w:rPr>
        <w:t>Règlement</w:t>
      </w:r>
      <w:r w:rsidRPr="00B84819">
        <w:rPr>
          <w:rFonts w:cs="Arial"/>
          <w:szCs w:val="24"/>
        </w:rPr>
        <w:t>;</w:t>
      </w:r>
    </w:p>
    <w:p w14:paraId="16A1CC01" w14:textId="77777777" w:rsidR="00B84819" w:rsidRDefault="008615BE" w:rsidP="008615BE">
      <w:pPr>
        <w:pStyle w:val="ListParagraph"/>
        <w:numPr>
          <w:ilvl w:val="1"/>
          <w:numId w:val="3"/>
        </w:numPr>
        <w:spacing w:before="240"/>
        <w:contextualSpacing w:val="0"/>
        <w:rPr>
          <w:rFonts w:cs="Arial"/>
          <w:szCs w:val="24"/>
        </w:rPr>
      </w:pPr>
      <w:r w:rsidRPr="00B84819">
        <w:rPr>
          <w:rFonts w:cs="Arial"/>
          <w:szCs w:val="24"/>
        </w:rPr>
        <w:t xml:space="preserve">l’entrepôt d’attente de catégorie CW est en mesure de recevoir par voie électronique l’avis de dégroupement de l’ASFC.  </w:t>
      </w:r>
    </w:p>
    <w:p w14:paraId="1E93990C" w14:textId="66364225" w:rsidR="00B84819" w:rsidRDefault="008615BE" w:rsidP="008615BE">
      <w:pPr>
        <w:pStyle w:val="ListParagraph"/>
        <w:numPr>
          <w:ilvl w:val="0"/>
          <w:numId w:val="3"/>
        </w:numPr>
        <w:spacing w:before="240"/>
        <w:contextualSpacing w:val="0"/>
        <w:rPr>
          <w:rFonts w:cs="Arial"/>
          <w:szCs w:val="24"/>
        </w:rPr>
      </w:pPr>
      <w:r w:rsidRPr="00B84819">
        <w:rPr>
          <w:rFonts w:cs="Arial"/>
          <w:szCs w:val="24"/>
        </w:rPr>
        <w:t>Une retenue au premier point d’arrivée (PPA) a préséance sur une autorisation de transport qui pourrait avoir été accordée par l’ASFC. Lorsqu’une expédition fait l’objet d’une retenue pour examen de santé et de sécurité, elle est retenue à l’entrepôt d’attente principal au PPA. Dans les modes routier et ferroviaire, il s’agit du bureau désigné pour le secteur commercial ou du premier point d’intervention opérationnelle (PPIO), selon le cas. Le transport des marchandises au</w:t>
      </w:r>
      <w:r w:rsidRPr="00B84819">
        <w:rPr>
          <w:rFonts w:cs="Arial"/>
          <w:szCs w:val="24"/>
        </w:rPr>
        <w:noBreakHyphen/>
        <w:t xml:space="preserve">delà de l’entrepôt d’attente principal au PPA, du bureau désigné pour le secteur commercial ou du PPIO est </w:t>
      </w:r>
      <w:r w:rsidR="0065454A">
        <w:rPr>
          <w:rFonts w:cs="Arial"/>
          <w:szCs w:val="24"/>
        </w:rPr>
        <w:t>interdit</w:t>
      </w:r>
      <w:r w:rsidR="00636A6D">
        <w:rPr>
          <w:rFonts w:cs="Arial"/>
          <w:szCs w:val="24"/>
        </w:rPr>
        <w:t>, sauf</w:t>
      </w:r>
      <w:r w:rsidRPr="00B84819">
        <w:rPr>
          <w:rFonts w:cs="Arial"/>
          <w:szCs w:val="24"/>
        </w:rPr>
        <w:t xml:space="preserve"> </w:t>
      </w:r>
      <w:r w:rsidR="00636A6D">
        <w:rPr>
          <w:rFonts w:cs="Arial"/>
          <w:szCs w:val="24"/>
        </w:rPr>
        <w:t xml:space="preserve">si </w:t>
      </w:r>
      <w:r w:rsidRPr="00B84819">
        <w:rPr>
          <w:rFonts w:cs="Arial"/>
          <w:szCs w:val="24"/>
        </w:rPr>
        <w:t>l’ASFC</w:t>
      </w:r>
      <w:r w:rsidR="00636A6D">
        <w:rPr>
          <w:rFonts w:cs="Arial"/>
          <w:szCs w:val="24"/>
        </w:rPr>
        <w:t xml:space="preserve"> l’autorise</w:t>
      </w:r>
      <w:r w:rsidRPr="00B84819">
        <w:rPr>
          <w:rFonts w:cs="Arial"/>
          <w:szCs w:val="24"/>
        </w:rPr>
        <w:t>.</w:t>
      </w:r>
    </w:p>
    <w:p w14:paraId="5FEEDC50" w14:textId="31A2BF8A" w:rsidR="00B84819" w:rsidRDefault="008615BE" w:rsidP="008615BE">
      <w:pPr>
        <w:pStyle w:val="ListParagraph"/>
        <w:numPr>
          <w:ilvl w:val="0"/>
          <w:numId w:val="3"/>
        </w:numPr>
        <w:spacing w:before="240"/>
        <w:contextualSpacing w:val="0"/>
        <w:rPr>
          <w:rFonts w:cs="Arial"/>
          <w:szCs w:val="24"/>
        </w:rPr>
      </w:pPr>
      <w:r w:rsidRPr="00B84819">
        <w:rPr>
          <w:rFonts w:cs="Arial"/>
          <w:szCs w:val="24"/>
        </w:rPr>
        <w:t>Lorsqu’il y a un changement de transporteur pour l’expédition sous douane, un nouveau document de contrôle du fret portant un nouveau numéro de contrôle du fret (c.</w:t>
      </w:r>
      <w:r w:rsidRPr="00B84819">
        <w:rPr>
          <w:rFonts w:cs="Arial"/>
          <w:szCs w:val="24"/>
        </w:rPr>
        <w:noBreakHyphen/>
        <w:t>à</w:t>
      </w:r>
      <w:r w:rsidRPr="00B84819">
        <w:rPr>
          <w:rFonts w:cs="Arial"/>
          <w:szCs w:val="24"/>
        </w:rPr>
        <w:noBreakHyphen/>
        <w:t xml:space="preserve">d. un nouveau manifeste papier établi à la main) doit être présenté à l’ASFC pour approbation avant que </w:t>
      </w:r>
      <w:r w:rsidR="00667265">
        <w:rPr>
          <w:rFonts w:cs="Arial"/>
          <w:szCs w:val="24"/>
        </w:rPr>
        <w:t xml:space="preserve">le </w:t>
      </w:r>
      <w:r w:rsidR="000268BD">
        <w:rPr>
          <w:rFonts w:cs="Arial"/>
          <w:szCs w:val="24"/>
        </w:rPr>
        <w:t>transport d</w:t>
      </w:r>
      <w:r w:rsidRPr="00B84819">
        <w:rPr>
          <w:rFonts w:cs="Arial"/>
          <w:szCs w:val="24"/>
        </w:rPr>
        <w:t xml:space="preserve">es marchandises </w:t>
      </w:r>
      <w:r w:rsidR="000268BD">
        <w:rPr>
          <w:rFonts w:cs="Arial"/>
          <w:szCs w:val="24"/>
        </w:rPr>
        <w:t xml:space="preserve">à l’entrepôt d’attente de destination </w:t>
      </w:r>
      <w:r w:rsidRPr="00B84819">
        <w:rPr>
          <w:rFonts w:cs="Arial"/>
          <w:szCs w:val="24"/>
        </w:rPr>
        <w:t xml:space="preserve">ne puisse être autorisé. L’information sur le nouveau manifeste doit correspondre à celle sur le document du fret initial et </w:t>
      </w:r>
      <w:r w:rsidR="000268BD">
        <w:rPr>
          <w:rFonts w:cs="Arial"/>
          <w:szCs w:val="24"/>
        </w:rPr>
        <w:t>comprendre</w:t>
      </w:r>
      <w:r w:rsidRPr="00B84819">
        <w:rPr>
          <w:rFonts w:cs="Arial"/>
          <w:szCs w:val="24"/>
        </w:rPr>
        <w:t xml:space="preserve"> le code de sous</w:t>
      </w:r>
      <w:r w:rsidRPr="00B84819">
        <w:rPr>
          <w:rFonts w:cs="Arial"/>
          <w:szCs w:val="24"/>
        </w:rPr>
        <w:noBreakHyphen/>
        <w:t xml:space="preserve">emplacement d’entrepôt.  </w:t>
      </w:r>
    </w:p>
    <w:p w14:paraId="74F246ED" w14:textId="4B9AE786" w:rsidR="00B84819" w:rsidRPr="00B84819" w:rsidRDefault="00B84819" w:rsidP="00B84819">
      <w:pPr>
        <w:pStyle w:val="Heading3"/>
      </w:pPr>
      <w:bookmarkStart w:id="128" w:name="_Catégorie_S_-"/>
      <w:bookmarkEnd w:id="128"/>
      <w:r w:rsidRPr="008615BE">
        <w:t xml:space="preserve">Catégorie S </w:t>
      </w:r>
      <w:r w:rsidR="008A775B">
        <w:t>–</w:t>
      </w:r>
      <w:r w:rsidRPr="008615BE">
        <w:t xml:space="preserve"> </w:t>
      </w:r>
      <w:r w:rsidR="002D2362">
        <w:t>c</w:t>
      </w:r>
      <w:r w:rsidRPr="008615BE">
        <w:t>atégorie particulière de marchandises</w:t>
      </w:r>
    </w:p>
    <w:p w14:paraId="3554AD50" w14:textId="77777777" w:rsidR="00B84819" w:rsidRDefault="008615BE" w:rsidP="008615BE">
      <w:pPr>
        <w:pStyle w:val="ListParagraph"/>
        <w:numPr>
          <w:ilvl w:val="0"/>
          <w:numId w:val="3"/>
        </w:numPr>
        <w:spacing w:before="240"/>
        <w:contextualSpacing w:val="0"/>
        <w:rPr>
          <w:rFonts w:cs="Arial"/>
          <w:szCs w:val="24"/>
        </w:rPr>
      </w:pPr>
      <w:r w:rsidRPr="00B84819">
        <w:rPr>
          <w:rFonts w:cs="Arial"/>
          <w:szCs w:val="24"/>
        </w:rPr>
        <w:lastRenderedPageBreak/>
        <w:t>Les entrepôts d’attente de catégorie S sont exploités par une ou plusieurs personnes pour l’entreposage d’un type particulier de marchandises importées, quel que soit le mode de transport utilisé. Cette catégorie comprend les sous</w:t>
      </w:r>
      <w:r w:rsidRPr="00B84819">
        <w:rPr>
          <w:rFonts w:cs="Arial"/>
          <w:szCs w:val="24"/>
        </w:rPr>
        <w:noBreakHyphen/>
        <w:t>catégories suivantes :</w:t>
      </w:r>
    </w:p>
    <w:p w14:paraId="0CC79C5B" w14:textId="77777777" w:rsidR="00B84819" w:rsidRPr="008615BE" w:rsidRDefault="00B84819" w:rsidP="00B84819">
      <w:pPr>
        <w:spacing w:after="0" w:line="345" w:lineRule="exact"/>
        <w:rPr>
          <w:rFonts w:ascii="Arial" w:hAnsi="Arial" w:cs="Arial"/>
          <w:b/>
          <w:bCs/>
          <w:sz w:val="24"/>
          <w:szCs w:val="24"/>
          <w:lang w:val="fr-CA"/>
        </w:rPr>
      </w:pPr>
      <w:r w:rsidRPr="008615BE">
        <w:rPr>
          <w:rFonts w:ascii="Arial" w:hAnsi="Arial" w:cs="Arial"/>
          <w:b/>
          <w:bCs/>
          <w:sz w:val="24"/>
          <w:szCs w:val="24"/>
          <w:lang w:val="fr-CA"/>
        </w:rPr>
        <w:t>SF</w:t>
      </w:r>
    </w:p>
    <w:p w14:paraId="60C60E12" w14:textId="77777777" w:rsidR="00B84819" w:rsidRPr="008615BE" w:rsidRDefault="00B84819" w:rsidP="00B84819">
      <w:pPr>
        <w:spacing w:line="345" w:lineRule="exact"/>
        <w:rPr>
          <w:rFonts w:ascii="Arial" w:hAnsi="Arial" w:cs="Arial"/>
          <w:sz w:val="24"/>
          <w:szCs w:val="24"/>
          <w:lang w:val="fr-CA"/>
        </w:rPr>
      </w:pPr>
      <w:r w:rsidRPr="008615BE">
        <w:rPr>
          <w:rFonts w:ascii="Arial" w:hAnsi="Arial" w:cs="Arial"/>
          <w:sz w:val="24"/>
          <w:szCs w:val="24"/>
          <w:lang w:val="fr-CA"/>
        </w:rPr>
        <w:t>produits périssables, p. ex. fruits et légumes, viande fraîche, poisson, volaille, fleurs, plasma humain;</w:t>
      </w:r>
    </w:p>
    <w:p w14:paraId="2916BF87" w14:textId="77777777" w:rsidR="00B84819" w:rsidRPr="008615BE" w:rsidRDefault="00B84819" w:rsidP="00B84819">
      <w:pPr>
        <w:spacing w:after="0" w:line="345" w:lineRule="exact"/>
        <w:rPr>
          <w:rFonts w:ascii="Arial" w:hAnsi="Arial" w:cs="Arial"/>
          <w:b/>
          <w:bCs/>
          <w:sz w:val="24"/>
          <w:szCs w:val="24"/>
          <w:lang w:val="fr-CA"/>
        </w:rPr>
      </w:pPr>
      <w:r w:rsidRPr="008615BE">
        <w:rPr>
          <w:rFonts w:ascii="Arial" w:hAnsi="Arial" w:cs="Arial"/>
          <w:b/>
          <w:bCs/>
          <w:sz w:val="24"/>
          <w:szCs w:val="24"/>
          <w:lang w:val="fr-CA"/>
        </w:rPr>
        <w:t>SH</w:t>
      </w:r>
    </w:p>
    <w:p w14:paraId="68BE629A" w14:textId="77777777" w:rsidR="00B84819" w:rsidRPr="008615BE" w:rsidRDefault="00B84819" w:rsidP="00B84819">
      <w:pPr>
        <w:spacing w:line="345" w:lineRule="exact"/>
        <w:rPr>
          <w:rFonts w:ascii="Arial" w:hAnsi="Arial" w:cs="Arial"/>
          <w:sz w:val="24"/>
          <w:szCs w:val="24"/>
          <w:lang w:val="fr-CA"/>
        </w:rPr>
      </w:pPr>
      <w:r w:rsidRPr="008615BE">
        <w:rPr>
          <w:rFonts w:ascii="Arial" w:hAnsi="Arial" w:cs="Arial"/>
          <w:sz w:val="24"/>
          <w:szCs w:val="24"/>
          <w:lang w:val="fr-CA"/>
        </w:rPr>
        <w:t>articles de ménage usagés et effets personnels;</w:t>
      </w:r>
    </w:p>
    <w:p w14:paraId="6AD98F80" w14:textId="77777777" w:rsidR="00B84819" w:rsidRPr="008615BE" w:rsidRDefault="00B84819" w:rsidP="00B84819">
      <w:pPr>
        <w:spacing w:after="0" w:line="345" w:lineRule="exact"/>
        <w:rPr>
          <w:rFonts w:ascii="Arial" w:hAnsi="Arial" w:cs="Arial"/>
          <w:b/>
          <w:bCs/>
          <w:sz w:val="24"/>
          <w:szCs w:val="24"/>
          <w:lang w:val="fr-CA"/>
        </w:rPr>
      </w:pPr>
      <w:r w:rsidRPr="008615BE">
        <w:rPr>
          <w:rFonts w:ascii="Arial" w:hAnsi="Arial" w:cs="Arial"/>
          <w:b/>
          <w:bCs/>
          <w:sz w:val="24"/>
          <w:szCs w:val="24"/>
          <w:lang w:val="fr-CA"/>
        </w:rPr>
        <w:t>SL</w:t>
      </w:r>
    </w:p>
    <w:p w14:paraId="37630E5F" w14:textId="77777777" w:rsidR="00B84819" w:rsidRPr="008615BE" w:rsidRDefault="00B84819" w:rsidP="00B84819">
      <w:pPr>
        <w:spacing w:line="345" w:lineRule="exact"/>
        <w:rPr>
          <w:rFonts w:ascii="Arial" w:hAnsi="Arial" w:cs="Arial"/>
          <w:sz w:val="24"/>
          <w:szCs w:val="24"/>
          <w:lang w:val="fr-CA"/>
        </w:rPr>
      </w:pPr>
      <w:r w:rsidRPr="008615BE">
        <w:rPr>
          <w:rFonts w:ascii="Arial" w:hAnsi="Arial" w:cs="Arial"/>
          <w:sz w:val="24"/>
          <w:szCs w:val="24"/>
          <w:lang w:val="fr-CA"/>
        </w:rPr>
        <w:t>régies provinciales des alcools;</w:t>
      </w:r>
    </w:p>
    <w:p w14:paraId="6E2B2980" w14:textId="77777777" w:rsidR="00B84819" w:rsidRPr="008615BE" w:rsidRDefault="00B84819" w:rsidP="00B84819">
      <w:pPr>
        <w:spacing w:after="0" w:line="345" w:lineRule="exact"/>
        <w:rPr>
          <w:rFonts w:ascii="Arial" w:hAnsi="Arial" w:cs="Arial"/>
          <w:b/>
          <w:bCs/>
          <w:sz w:val="24"/>
          <w:szCs w:val="24"/>
          <w:lang w:val="fr-CA"/>
        </w:rPr>
      </w:pPr>
      <w:r w:rsidRPr="008615BE">
        <w:rPr>
          <w:rFonts w:ascii="Arial" w:hAnsi="Arial" w:cs="Arial"/>
          <w:b/>
          <w:bCs/>
          <w:sz w:val="24"/>
          <w:szCs w:val="24"/>
          <w:lang w:val="fr-CA"/>
        </w:rPr>
        <w:t>SO</w:t>
      </w:r>
    </w:p>
    <w:p w14:paraId="08E40F49" w14:textId="10B0EA15" w:rsidR="00B84819" w:rsidRPr="008615BE" w:rsidRDefault="00B84819" w:rsidP="00B84819">
      <w:pPr>
        <w:spacing w:line="345" w:lineRule="exact"/>
        <w:rPr>
          <w:rFonts w:ascii="Arial" w:hAnsi="Arial" w:cs="Arial"/>
          <w:sz w:val="24"/>
          <w:szCs w:val="24"/>
          <w:lang w:val="fr-CA"/>
        </w:rPr>
      </w:pPr>
      <w:r w:rsidRPr="008615BE">
        <w:rPr>
          <w:rFonts w:ascii="Arial" w:hAnsi="Arial" w:cs="Arial"/>
          <w:sz w:val="24"/>
          <w:szCs w:val="24"/>
          <w:lang w:val="fr-CA"/>
        </w:rPr>
        <w:t xml:space="preserve">autres marchandises </w:t>
      </w:r>
      <w:r w:rsidR="00A87A6F">
        <w:rPr>
          <w:rFonts w:ascii="Arial" w:hAnsi="Arial" w:cs="Arial"/>
          <w:sz w:val="24"/>
          <w:szCs w:val="24"/>
          <w:lang w:val="fr-CA"/>
        </w:rPr>
        <w:t>expressément précisées</w:t>
      </w:r>
      <w:r w:rsidRPr="008615BE">
        <w:rPr>
          <w:rFonts w:ascii="Arial" w:hAnsi="Arial" w:cs="Arial"/>
          <w:sz w:val="24"/>
          <w:szCs w:val="24"/>
          <w:lang w:val="fr-CA"/>
        </w:rPr>
        <w:t xml:space="preserve"> dans l’agrément, p. ex. produits en vrac et produits liquides, produits servant au forage des puits de pétrole, et bois;</w:t>
      </w:r>
    </w:p>
    <w:p w14:paraId="302B19B2" w14:textId="174AF124" w:rsidR="00B84819" w:rsidRPr="008615BE" w:rsidRDefault="00B84819" w:rsidP="00B84819">
      <w:pPr>
        <w:spacing w:after="0" w:line="345" w:lineRule="exact"/>
        <w:rPr>
          <w:rFonts w:ascii="Arial" w:hAnsi="Arial" w:cs="Arial"/>
          <w:b/>
          <w:bCs/>
          <w:sz w:val="24"/>
          <w:szCs w:val="24"/>
          <w:lang w:val="fr-CA"/>
        </w:rPr>
      </w:pPr>
      <w:r w:rsidRPr="008615BE">
        <w:rPr>
          <w:rFonts w:ascii="Arial" w:hAnsi="Arial" w:cs="Arial"/>
          <w:b/>
          <w:bCs/>
          <w:sz w:val="24"/>
          <w:szCs w:val="24"/>
          <w:lang w:val="fr-CA"/>
        </w:rPr>
        <w:t xml:space="preserve">SO (PAD) </w:t>
      </w:r>
      <w:r w:rsidR="00ED1CFC">
        <w:rPr>
          <w:rFonts w:ascii="Arial" w:hAnsi="Arial" w:cs="Arial"/>
          <w:b/>
          <w:bCs/>
          <w:sz w:val="24"/>
          <w:szCs w:val="24"/>
          <w:lang w:val="fr-CA"/>
        </w:rPr>
        <w:t>–</w:t>
      </w:r>
      <w:r w:rsidRPr="008615BE">
        <w:rPr>
          <w:rFonts w:ascii="Arial" w:hAnsi="Arial" w:cs="Arial"/>
          <w:b/>
          <w:bCs/>
          <w:sz w:val="24"/>
          <w:szCs w:val="24"/>
          <w:lang w:val="fr-CA"/>
        </w:rPr>
        <w:t xml:space="preserve"> EDI </w:t>
      </w:r>
      <w:r w:rsidR="00136DDC">
        <w:rPr>
          <w:rFonts w:ascii="Arial" w:hAnsi="Arial" w:cs="Arial"/>
          <w:b/>
          <w:bCs/>
          <w:sz w:val="24"/>
          <w:szCs w:val="24"/>
          <w:lang w:val="fr-CA"/>
        </w:rPr>
        <w:t>–</w:t>
      </w:r>
      <w:r w:rsidRPr="008615BE">
        <w:rPr>
          <w:rFonts w:ascii="Arial" w:hAnsi="Arial" w:cs="Arial"/>
          <w:b/>
          <w:bCs/>
          <w:sz w:val="24"/>
          <w:szCs w:val="24"/>
          <w:lang w:val="fr-CA"/>
        </w:rPr>
        <w:t xml:space="preserve"> chargement incomplet</w:t>
      </w:r>
    </w:p>
    <w:p w14:paraId="008581A8" w14:textId="77777777" w:rsidR="00B84819" w:rsidRPr="008615BE" w:rsidRDefault="00B84819" w:rsidP="00B84819">
      <w:pPr>
        <w:spacing w:line="345" w:lineRule="exact"/>
        <w:rPr>
          <w:rFonts w:ascii="Arial" w:hAnsi="Arial" w:cs="Arial"/>
          <w:sz w:val="24"/>
          <w:szCs w:val="24"/>
          <w:lang w:val="fr-CA"/>
        </w:rPr>
      </w:pPr>
      <w:r w:rsidRPr="008615BE">
        <w:rPr>
          <w:rFonts w:ascii="Arial" w:hAnsi="Arial" w:cs="Arial"/>
          <w:sz w:val="24"/>
          <w:szCs w:val="24"/>
          <w:lang w:val="fr-CA"/>
        </w:rPr>
        <w:t>marchandises transportées par les transporteurs du PAD</w:t>
      </w:r>
    </w:p>
    <w:p w14:paraId="16510392" w14:textId="24C79FE2" w:rsidR="00B84819" w:rsidRPr="00B84819" w:rsidRDefault="00B84819" w:rsidP="00B84819">
      <w:pPr>
        <w:pStyle w:val="Heading4"/>
      </w:pPr>
      <w:r w:rsidRPr="008615BE">
        <w:t>Entrepôts d’attente de catégorie SO</w:t>
      </w:r>
      <w:r w:rsidR="00CE11ED">
        <w:t xml:space="preserve"> </w:t>
      </w:r>
      <w:r w:rsidR="00CE11ED" w:rsidRPr="008615BE">
        <w:t>(PAD)</w:t>
      </w:r>
    </w:p>
    <w:p w14:paraId="0E20A4D1" w14:textId="2B0D973D" w:rsidR="00B84819" w:rsidRDefault="00FA358E" w:rsidP="008615BE">
      <w:pPr>
        <w:pStyle w:val="ListParagraph"/>
        <w:numPr>
          <w:ilvl w:val="0"/>
          <w:numId w:val="3"/>
        </w:numPr>
        <w:spacing w:before="240"/>
        <w:contextualSpacing w:val="0"/>
        <w:rPr>
          <w:rFonts w:cs="Arial"/>
          <w:szCs w:val="24"/>
        </w:rPr>
      </w:pPr>
      <w:r>
        <w:rPr>
          <w:rFonts w:cs="Arial"/>
          <w:szCs w:val="24"/>
        </w:rPr>
        <w:t>L’</w:t>
      </w:r>
      <w:r w:rsidR="008615BE" w:rsidRPr="00B84819">
        <w:rPr>
          <w:rFonts w:cs="Arial"/>
          <w:szCs w:val="24"/>
        </w:rPr>
        <w:t xml:space="preserve">agrément </w:t>
      </w:r>
      <w:r>
        <w:rPr>
          <w:rFonts w:cs="Arial"/>
          <w:szCs w:val="24"/>
        </w:rPr>
        <w:t>d’</w:t>
      </w:r>
      <w:r w:rsidR="008615BE" w:rsidRPr="00B84819">
        <w:rPr>
          <w:rFonts w:cs="Arial"/>
          <w:szCs w:val="24"/>
        </w:rPr>
        <w:t>exploitation d’un entrepôt d’attente de catégorie SO</w:t>
      </w:r>
      <w:r w:rsidR="00CE11ED">
        <w:rPr>
          <w:rFonts w:cs="Arial"/>
          <w:szCs w:val="24"/>
        </w:rPr>
        <w:t xml:space="preserve"> </w:t>
      </w:r>
      <w:r w:rsidR="00CE11ED" w:rsidRPr="00B84819">
        <w:rPr>
          <w:rFonts w:cs="Arial"/>
          <w:szCs w:val="24"/>
        </w:rPr>
        <w:t>(PAD)</w:t>
      </w:r>
      <w:r w:rsidR="008615BE" w:rsidRPr="00B84819">
        <w:rPr>
          <w:rFonts w:cs="Arial"/>
          <w:szCs w:val="24"/>
        </w:rPr>
        <w:t xml:space="preserve"> est octroyé lorsque le demandeur satisfait aux exigences réglementaires, ainsi qu’aux exigences du PAD. Voir le </w:t>
      </w:r>
      <w:hyperlink r:id="rId47" w:history="1">
        <w:r w:rsidR="008615BE" w:rsidRPr="00B84819">
          <w:rPr>
            <w:rStyle w:val="Hyperlink"/>
            <w:rFonts w:cs="Arial"/>
            <w:szCs w:val="24"/>
          </w:rPr>
          <w:t>Mémorandum D23-2-1</w:t>
        </w:r>
        <w:r w:rsidR="00F12533">
          <w:rPr>
            <w:rStyle w:val="Hyperlink"/>
            <w:rFonts w:cs="Arial"/>
            <w:szCs w:val="24"/>
          </w:rPr>
          <w:t> :</w:t>
        </w:r>
        <w:r w:rsidR="008615BE" w:rsidRPr="00B84819">
          <w:rPr>
            <w:rStyle w:val="Hyperlink"/>
            <w:rFonts w:cs="Arial"/>
            <w:szCs w:val="24"/>
          </w:rPr>
          <w:t xml:space="preserve"> Programme d’autocotisation des douanes pour les transporteurs</w:t>
        </w:r>
      </w:hyperlink>
      <w:r w:rsidR="008615BE" w:rsidRPr="00B84819">
        <w:rPr>
          <w:rFonts w:cs="Arial"/>
          <w:szCs w:val="24"/>
        </w:rPr>
        <w:t xml:space="preserve"> pour de plus amples renseignements sur les exigences du PAD. Si l’ASFC n’est pas en mesure d’offrir le service directement à ces entrepôts, les exploitants seront tenus de transporter les expéditions devant être examinées à un entrepôt d’attente existant. Lorsqu’un arrangement de ce type est utilisé, le demandeur n’est pas tenu de respecter les exigences relatives aux examens énoncées aux alinéas 11b) et c) du </w:t>
      </w:r>
      <w:r w:rsidR="008615BE" w:rsidRPr="001B7FED">
        <w:rPr>
          <w:rFonts w:cs="Arial"/>
          <w:i/>
          <w:iCs/>
          <w:szCs w:val="24"/>
        </w:rPr>
        <w:t>Règlement</w:t>
      </w:r>
      <w:r w:rsidR="008615BE" w:rsidRPr="00B84819">
        <w:rPr>
          <w:rFonts w:cs="Arial"/>
          <w:szCs w:val="24"/>
        </w:rPr>
        <w:t>. Ces arrangements sont assujettis à l’approbation de l’ASFC. Toutefois, l’ASFC peut rejeter une demande si l’installation proposée ne se trouve pas à une distance raisonnable des emplacements où un service du secteur commercial est actuellement offert, selon le jugement de l’ASFC.</w:t>
      </w:r>
    </w:p>
    <w:p w14:paraId="0FAC74AC" w14:textId="436FD8C6" w:rsidR="00B84819" w:rsidRPr="00B84819" w:rsidRDefault="00B84819" w:rsidP="00B84819">
      <w:pPr>
        <w:pStyle w:val="Heading4"/>
      </w:pPr>
      <w:bookmarkStart w:id="129" w:name="_Hlk214020159"/>
      <w:r w:rsidRPr="00B84819">
        <w:rPr>
          <w:bCs/>
        </w:rPr>
        <w:lastRenderedPageBreak/>
        <w:t>Catégorie </w:t>
      </w:r>
      <w:r>
        <w:rPr>
          <w:bCs/>
        </w:rPr>
        <w:t>S</w:t>
      </w:r>
      <w:r w:rsidRPr="00B84819">
        <w:rPr>
          <w:bCs/>
        </w:rPr>
        <w:t xml:space="preserve"> </w:t>
      </w:r>
      <w:r w:rsidR="001B7FED">
        <w:rPr>
          <w:bCs/>
        </w:rPr>
        <w:t>–</w:t>
      </w:r>
      <w:r w:rsidRPr="00B84819">
        <w:rPr>
          <w:bCs/>
        </w:rPr>
        <w:t xml:space="preserve"> </w:t>
      </w:r>
      <w:r w:rsidR="002D2362">
        <w:rPr>
          <w:bCs/>
        </w:rPr>
        <w:t>e</w:t>
      </w:r>
      <w:r w:rsidRPr="00B84819">
        <w:rPr>
          <w:bCs/>
        </w:rPr>
        <w:t>xigences</w:t>
      </w:r>
      <w:r w:rsidRPr="00B84819">
        <w:t xml:space="preserve"> et restrictions relatives aux entrepôts d’attente</w:t>
      </w:r>
    </w:p>
    <w:bookmarkEnd w:id="129"/>
    <w:p w14:paraId="1395A551" w14:textId="77777777" w:rsidR="000B64A5" w:rsidRDefault="008615BE" w:rsidP="008615BE">
      <w:pPr>
        <w:pStyle w:val="ListParagraph"/>
        <w:numPr>
          <w:ilvl w:val="0"/>
          <w:numId w:val="3"/>
        </w:numPr>
        <w:spacing w:before="240"/>
        <w:contextualSpacing w:val="0"/>
        <w:rPr>
          <w:rFonts w:cs="Arial"/>
          <w:szCs w:val="24"/>
        </w:rPr>
      </w:pPr>
      <w:r w:rsidRPr="0084698F">
        <w:rPr>
          <w:rFonts w:cs="Arial"/>
          <w:szCs w:val="24"/>
        </w:rPr>
        <w:t>Les exigences</w:t>
      </w:r>
      <w:r w:rsidRPr="00B84819">
        <w:rPr>
          <w:rFonts w:cs="Arial"/>
          <w:szCs w:val="24"/>
        </w:rPr>
        <w:t xml:space="preserve"> et les restrictions pour l’exploitation des entrepôts de catégories SF, SH, SO et SO (PAD) sont les suivantes :</w:t>
      </w:r>
    </w:p>
    <w:p w14:paraId="3AF86606" w14:textId="77777777" w:rsidR="000B64A5" w:rsidRDefault="000B64A5" w:rsidP="000B64A5">
      <w:pPr>
        <w:pStyle w:val="ListParagraph"/>
        <w:numPr>
          <w:ilvl w:val="0"/>
          <w:numId w:val="15"/>
        </w:numPr>
        <w:spacing w:before="240"/>
        <w:contextualSpacing w:val="0"/>
        <w:rPr>
          <w:rFonts w:cs="Arial"/>
          <w:szCs w:val="24"/>
        </w:rPr>
      </w:pPr>
      <w:r w:rsidRPr="00B84819">
        <w:rPr>
          <w:rFonts w:cs="Arial"/>
          <w:szCs w:val="24"/>
        </w:rPr>
        <w:t>Catégorie d’entrepôt : SF</w:t>
      </w:r>
    </w:p>
    <w:p w14:paraId="666ECACB"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4366CD0D"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marchandises périssables, p. ex. fruits et légumes, viande fraîche, poisson, volaille, fleurs, plasma humain, etc.</w:t>
      </w:r>
    </w:p>
    <w:p w14:paraId="59D53680" w14:textId="34DC0710"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Mode</w:t>
      </w:r>
      <w:r w:rsidR="0084698F">
        <w:rPr>
          <w:rFonts w:ascii="Arial" w:hAnsi="Arial" w:cs="Arial"/>
          <w:sz w:val="24"/>
          <w:szCs w:val="24"/>
          <w:lang w:val="fr-CA"/>
        </w:rPr>
        <w:t> </w:t>
      </w:r>
      <w:r w:rsidRPr="008615BE">
        <w:rPr>
          <w:rFonts w:ascii="Arial" w:hAnsi="Arial" w:cs="Arial"/>
          <w:sz w:val="24"/>
          <w:szCs w:val="24"/>
          <w:lang w:val="fr-CA"/>
        </w:rPr>
        <w:t>: aérien, ferroviaire, maritime, routier</w:t>
      </w:r>
    </w:p>
    <w:p w14:paraId="6398B0FA"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oui</w:t>
      </w:r>
    </w:p>
    <w:p w14:paraId="73CA56E9" w14:textId="36513909"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34751EA8"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w:t>
      </w:r>
    </w:p>
    <w:p w14:paraId="0C25F02C" w14:textId="7807B033" w:rsidR="000B64A5" w:rsidRPr="000B64A5"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Autorité déléguée d</w:t>
      </w:r>
      <w:r w:rsidR="0084698F">
        <w:rPr>
          <w:rFonts w:ascii="Arial" w:hAnsi="Arial" w:cs="Arial"/>
          <w:sz w:val="24"/>
          <w:szCs w:val="24"/>
          <w:lang w:val="fr-CA"/>
        </w:rPr>
        <w:t>’agrément</w:t>
      </w:r>
      <w:r w:rsidRPr="008615BE">
        <w:rPr>
          <w:rFonts w:ascii="Arial" w:hAnsi="Arial" w:cs="Arial"/>
          <w:sz w:val="24"/>
          <w:szCs w:val="24"/>
          <w:lang w:val="fr-CA"/>
        </w:rPr>
        <w:t> : région</w:t>
      </w:r>
    </w:p>
    <w:p w14:paraId="267B72FF" w14:textId="77777777" w:rsidR="000B64A5" w:rsidRDefault="000B64A5" w:rsidP="000B64A5">
      <w:pPr>
        <w:pStyle w:val="ListParagraph"/>
        <w:numPr>
          <w:ilvl w:val="0"/>
          <w:numId w:val="15"/>
        </w:numPr>
        <w:spacing w:before="240"/>
        <w:contextualSpacing w:val="0"/>
        <w:rPr>
          <w:rFonts w:cs="Arial"/>
          <w:szCs w:val="24"/>
        </w:rPr>
      </w:pPr>
      <w:r w:rsidRPr="000B64A5">
        <w:rPr>
          <w:rFonts w:cs="Arial"/>
          <w:szCs w:val="24"/>
        </w:rPr>
        <w:t>Catégorie d’entrepôt : SH</w:t>
      </w:r>
    </w:p>
    <w:p w14:paraId="68F75E27"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74E3DCE0"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biens ménagers et effets personnels</w:t>
      </w:r>
    </w:p>
    <w:p w14:paraId="649D6DFE" w14:textId="59FF87FE"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Mode</w:t>
      </w:r>
      <w:r w:rsidR="0084698F">
        <w:rPr>
          <w:rFonts w:ascii="Arial" w:hAnsi="Arial" w:cs="Arial"/>
          <w:sz w:val="24"/>
          <w:szCs w:val="24"/>
          <w:lang w:val="fr-CA"/>
        </w:rPr>
        <w:t> </w:t>
      </w:r>
      <w:r w:rsidRPr="008615BE">
        <w:rPr>
          <w:rFonts w:ascii="Arial" w:hAnsi="Arial" w:cs="Arial"/>
          <w:sz w:val="24"/>
          <w:szCs w:val="24"/>
          <w:lang w:val="fr-CA"/>
        </w:rPr>
        <w:t>: aérien, ferroviaire, maritime, routier</w:t>
      </w:r>
    </w:p>
    <w:p w14:paraId="0691836A"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oui</w:t>
      </w:r>
    </w:p>
    <w:p w14:paraId="176B40B1" w14:textId="6505E350"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089D8F36"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w:t>
      </w:r>
    </w:p>
    <w:p w14:paraId="1F8BB3FB" w14:textId="3B10F1AB" w:rsidR="000B64A5" w:rsidRPr="000B64A5"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Autorité déléguée d</w:t>
      </w:r>
      <w:r w:rsidR="0084698F">
        <w:rPr>
          <w:rFonts w:ascii="Arial" w:hAnsi="Arial" w:cs="Arial"/>
          <w:sz w:val="24"/>
          <w:szCs w:val="24"/>
          <w:lang w:val="fr-CA"/>
        </w:rPr>
        <w:t>’agrément</w:t>
      </w:r>
      <w:r w:rsidRPr="008615BE">
        <w:rPr>
          <w:rFonts w:ascii="Arial" w:hAnsi="Arial" w:cs="Arial"/>
          <w:sz w:val="24"/>
          <w:szCs w:val="24"/>
          <w:lang w:val="fr-CA"/>
        </w:rPr>
        <w:t> : région</w:t>
      </w:r>
    </w:p>
    <w:p w14:paraId="4D8461D9" w14:textId="77777777" w:rsidR="000B64A5" w:rsidRDefault="000B64A5" w:rsidP="000B64A5">
      <w:pPr>
        <w:pStyle w:val="ListParagraph"/>
        <w:numPr>
          <w:ilvl w:val="0"/>
          <w:numId w:val="15"/>
        </w:numPr>
        <w:spacing w:before="240"/>
        <w:contextualSpacing w:val="0"/>
        <w:rPr>
          <w:rFonts w:cs="Arial"/>
          <w:szCs w:val="24"/>
        </w:rPr>
      </w:pPr>
      <w:r w:rsidRPr="000B64A5">
        <w:rPr>
          <w:rFonts w:cs="Arial"/>
          <w:szCs w:val="24"/>
        </w:rPr>
        <w:t>Catégorie d’entrepôt : SL</w:t>
      </w:r>
    </w:p>
    <w:p w14:paraId="6AAAAE7A"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30F466B2"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produits particuliers</w:t>
      </w:r>
    </w:p>
    <w:p w14:paraId="2B14957B" w14:textId="1413F129"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Mode</w:t>
      </w:r>
      <w:r w:rsidR="0084698F">
        <w:rPr>
          <w:rFonts w:ascii="Arial" w:hAnsi="Arial" w:cs="Arial"/>
          <w:sz w:val="24"/>
          <w:szCs w:val="24"/>
          <w:lang w:val="fr-CA"/>
        </w:rPr>
        <w:t> </w:t>
      </w:r>
      <w:r w:rsidRPr="008615BE">
        <w:rPr>
          <w:rFonts w:ascii="Arial" w:hAnsi="Arial" w:cs="Arial"/>
          <w:sz w:val="24"/>
          <w:szCs w:val="24"/>
          <w:lang w:val="fr-CA"/>
        </w:rPr>
        <w:t>: aérien, ferroviaire, maritime, routier</w:t>
      </w:r>
    </w:p>
    <w:p w14:paraId="4FB748DA"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oui</w:t>
      </w:r>
    </w:p>
    <w:p w14:paraId="4572C3BD" w14:textId="2DEE541F"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5ECBFCC1"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w:t>
      </w:r>
    </w:p>
    <w:p w14:paraId="52AC62CF" w14:textId="5C1762AC"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Autorité déléguée d</w:t>
      </w:r>
      <w:r w:rsidR="00577A02">
        <w:rPr>
          <w:rFonts w:ascii="Arial" w:hAnsi="Arial" w:cs="Arial"/>
          <w:sz w:val="24"/>
          <w:szCs w:val="24"/>
          <w:lang w:val="fr-CA"/>
        </w:rPr>
        <w:t>’agrément</w:t>
      </w:r>
      <w:r w:rsidRPr="008615BE">
        <w:rPr>
          <w:rFonts w:ascii="Arial" w:hAnsi="Arial" w:cs="Arial"/>
          <w:sz w:val="24"/>
          <w:szCs w:val="24"/>
          <w:lang w:val="fr-CA"/>
        </w:rPr>
        <w:t> : Administration centrale</w:t>
      </w:r>
    </w:p>
    <w:p w14:paraId="3A579237" w14:textId="083143D8" w:rsidR="000B64A5" w:rsidRPr="000B64A5"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Autres restrictions</w:t>
      </w:r>
      <w:r w:rsidR="00577A02">
        <w:rPr>
          <w:rFonts w:ascii="Arial" w:hAnsi="Arial" w:cs="Arial"/>
          <w:sz w:val="24"/>
          <w:szCs w:val="24"/>
          <w:lang w:val="fr-CA"/>
        </w:rPr>
        <w:t> </w:t>
      </w:r>
      <w:r w:rsidRPr="008615BE">
        <w:rPr>
          <w:rFonts w:ascii="Arial" w:hAnsi="Arial" w:cs="Arial"/>
          <w:sz w:val="24"/>
          <w:szCs w:val="24"/>
          <w:lang w:val="fr-CA"/>
        </w:rPr>
        <w:t>: exploité par des régies provinciales des alcools</w:t>
      </w:r>
    </w:p>
    <w:p w14:paraId="4C911ADA" w14:textId="77777777" w:rsidR="000B64A5" w:rsidRDefault="000B64A5" w:rsidP="000B64A5">
      <w:pPr>
        <w:pStyle w:val="ListParagraph"/>
        <w:numPr>
          <w:ilvl w:val="0"/>
          <w:numId w:val="15"/>
        </w:numPr>
        <w:spacing w:before="240"/>
        <w:contextualSpacing w:val="0"/>
        <w:rPr>
          <w:rFonts w:cs="Arial"/>
          <w:szCs w:val="24"/>
        </w:rPr>
      </w:pPr>
      <w:r w:rsidRPr="000B64A5">
        <w:rPr>
          <w:rFonts w:cs="Arial"/>
          <w:szCs w:val="24"/>
        </w:rPr>
        <w:t>Catégorie d’entrepôt : SO</w:t>
      </w:r>
    </w:p>
    <w:p w14:paraId="75BFF2FC"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lastRenderedPageBreak/>
        <w:t>Exigences de livraison : livraison directe autorisée</w:t>
      </w:r>
    </w:p>
    <w:p w14:paraId="5FD9ACEC"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produits particuliers, y compris les produits en vrac et les produits liquides, les produits servant au forage des puits de pétrole et le bois</w:t>
      </w:r>
    </w:p>
    <w:p w14:paraId="3CCBD1D8" w14:textId="65046366"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Mode</w:t>
      </w:r>
      <w:r w:rsidR="00961DFC">
        <w:rPr>
          <w:rFonts w:ascii="Arial" w:hAnsi="Arial" w:cs="Arial"/>
          <w:sz w:val="24"/>
          <w:szCs w:val="24"/>
          <w:lang w:val="fr-CA"/>
        </w:rPr>
        <w:t> </w:t>
      </w:r>
      <w:r w:rsidRPr="008615BE">
        <w:rPr>
          <w:rFonts w:ascii="Arial" w:hAnsi="Arial" w:cs="Arial"/>
          <w:sz w:val="24"/>
          <w:szCs w:val="24"/>
          <w:lang w:val="fr-CA"/>
        </w:rPr>
        <w:t>: aérien, ferroviaire, maritime, routier</w:t>
      </w:r>
    </w:p>
    <w:p w14:paraId="723E2BD3"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non</w:t>
      </w:r>
    </w:p>
    <w:p w14:paraId="56242E1E" w14:textId="2B1DFDDB"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450A2777"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w:t>
      </w:r>
    </w:p>
    <w:p w14:paraId="3198CFA8" w14:textId="74662727" w:rsidR="000B64A5" w:rsidRPr="000B64A5"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Autorité déléguée d</w:t>
      </w:r>
      <w:r w:rsidR="00961DFC">
        <w:rPr>
          <w:rFonts w:ascii="Arial" w:hAnsi="Arial" w:cs="Arial"/>
          <w:sz w:val="24"/>
          <w:szCs w:val="24"/>
          <w:lang w:val="fr-CA"/>
        </w:rPr>
        <w:t>’agrément</w:t>
      </w:r>
      <w:r w:rsidRPr="008615BE">
        <w:rPr>
          <w:rFonts w:ascii="Arial" w:hAnsi="Arial" w:cs="Arial"/>
          <w:sz w:val="24"/>
          <w:szCs w:val="24"/>
          <w:lang w:val="fr-CA"/>
        </w:rPr>
        <w:t> : Administration centrale</w:t>
      </w:r>
    </w:p>
    <w:p w14:paraId="4E632830" w14:textId="77777777" w:rsidR="000B64A5" w:rsidRPr="000B64A5" w:rsidRDefault="000B64A5" w:rsidP="000B64A5">
      <w:pPr>
        <w:pStyle w:val="ListParagraph"/>
        <w:numPr>
          <w:ilvl w:val="0"/>
          <w:numId w:val="15"/>
        </w:numPr>
        <w:spacing w:before="240"/>
        <w:contextualSpacing w:val="0"/>
        <w:rPr>
          <w:rFonts w:cs="Arial"/>
          <w:szCs w:val="24"/>
        </w:rPr>
      </w:pPr>
      <w:r w:rsidRPr="000B64A5">
        <w:rPr>
          <w:rFonts w:cs="Arial"/>
          <w:szCs w:val="24"/>
        </w:rPr>
        <w:t>Catégorie d’entrepôt : SO (PAD)</w:t>
      </w:r>
    </w:p>
    <w:p w14:paraId="4D099034"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02EE01C5"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produits particuliers</w:t>
      </w:r>
    </w:p>
    <w:p w14:paraId="7FC6A519" w14:textId="0DF900FA"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Mode</w:t>
      </w:r>
      <w:r w:rsidR="00961DFC">
        <w:rPr>
          <w:rFonts w:ascii="Arial" w:hAnsi="Arial" w:cs="Arial"/>
          <w:sz w:val="24"/>
          <w:szCs w:val="24"/>
          <w:lang w:val="fr-CA"/>
        </w:rPr>
        <w:t> </w:t>
      </w:r>
      <w:r w:rsidRPr="008615BE">
        <w:rPr>
          <w:rFonts w:ascii="Arial" w:hAnsi="Arial" w:cs="Arial"/>
          <w:sz w:val="24"/>
          <w:szCs w:val="24"/>
          <w:lang w:val="fr-CA"/>
        </w:rPr>
        <w:t>: routier</w:t>
      </w:r>
    </w:p>
    <w:p w14:paraId="02B8BBAE"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non</w:t>
      </w:r>
    </w:p>
    <w:p w14:paraId="0404B58A" w14:textId="38A0972C"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43B532DF"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 à la discrétion de la région</w:t>
      </w:r>
    </w:p>
    <w:p w14:paraId="196D6747" w14:textId="3BEBF8D5"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Autorité déléguée d</w:t>
      </w:r>
      <w:r w:rsidR="00BC3844">
        <w:rPr>
          <w:rFonts w:ascii="Arial" w:hAnsi="Arial" w:cs="Arial"/>
          <w:sz w:val="24"/>
          <w:szCs w:val="24"/>
          <w:lang w:val="fr-CA"/>
        </w:rPr>
        <w:t>’agrément</w:t>
      </w:r>
      <w:r w:rsidRPr="008615BE">
        <w:rPr>
          <w:rFonts w:ascii="Arial" w:hAnsi="Arial" w:cs="Arial"/>
          <w:sz w:val="24"/>
          <w:szCs w:val="24"/>
          <w:lang w:val="fr-CA"/>
        </w:rPr>
        <w:t> : Administration centrale</w:t>
      </w:r>
    </w:p>
    <w:p w14:paraId="151FC3EC" w14:textId="6B8CACA6" w:rsidR="000B64A5" w:rsidRPr="008615BE" w:rsidRDefault="000B64A5" w:rsidP="000B64A5">
      <w:pPr>
        <w:spacing w:line="345" w:lineRule="exact"/>
        <w:ind w:left="1440"/>
        <w:rPr>
          <w:rFonts w:ascii="Arial" w:hAnsi="Arial" w:cs="Arial"/>
          <w:sz w:val="24"/>
          <w:szCs w:val="24"/>
          <w:lang w:val="fr-CA"/>
        </w:rPr>
      </w:pPr>
      <w:r w:rsidRPr="008615BE">
        <w:rPr>
          <w:rFonts w:ascii="Arial" w:hAnsi="Arial" w:cs="Arial"/>
          <w:sz w:val="24"/>
          <w:szCs w:val="24"/>
          <w:lang w:val="fr-CA"/>
        </w:rPr>
        <w:t>Autres restrictions</w:t>
      </w:r>
      <w:r w:rsidR="00BC3844">
        <w:rPr>
          <w:rFonts w:ascii="Arial" w:hAnsi="Arial" w:cs="Arial"/>
          <w:sz w:val="24"/>
          <w:szCs w:val="24"/>
          <w:lang w:val="fr-CA"/>
        </w:rPr>
        <w:t> </w:t>
      </w:r>
      <w:r w:rsidRPr="008615BE">
        <w:rPr>
          <w:rFonts w:ascii="Arial" w:hAnsi="Arial" w:cs="Arial"/>
          <w:sz w:val="24"/>
          <w:szCs w:val="24"/>
          <w:lang w:val="fr-CA"/>
        </w:rPr>
        <w:t>: transporteur PAD/EDI</w:t>
      </w:r>
      <w:r w:rsidR="00F072A4">
        <w:rPr>
          <w:rFonts w:ascii="Arial" w:hAnsi="Arial" w:cs="Arial"/>
          <w:sz w:val="24"/>
          <w:szCs w:val="24"/>
          <w:lang w:val="fr-CA"/>
        </w:rPr>
        <w:t xml:space="preserve"> – </w:t>
      </w:r>
      <w:r w:rsidRPr="008615BE">
        <w:rPr>
          <w:rFonts w:ascii="Arial" w:hAnsi="Arial" w:cs="Arial"/>
          <w:sz w:val="24"/>
          <w:szCs w:val="24"/>
          <w:lang w:val="fr-CA"/>
        </w:rPr>
        <w:t>chargement incomplet</w:t>
      </w:r>
    </w:p>
    <w:p w14:paraId="1BB2BECA" w14:textId="03D439F2" w:rsidR="000B64A5" w:rsidRPr="000B64A5" w:rsidRDefault="000B64A5" w:rsidP="000B64A5">
      <w:pPr>
        <w:pStyle w:val="Heading4"/>
      </w:pPr>
      <w:bookmarkStart w:id="130" w:name="_Catégorie_PS_–"/>
      <w:bookmarkEnd w:id="130"/>
      <w:r w:rsidRPr="008615BE">
        <w:t xml:space="preserve">Catégorie PS – </w:t>
      </w:r>
      <w:r w:rsidR="002D2362">
        <w:t>v</w:t>
      </w:r>
      <w:r w:rsidRPr="008615BE">
        <w:t>oies d’évitement privées</w:t>
      </w:r>
    </w:p>
    <w:p w14:paraId="5E4A7547" w14:textId="77777777" w:rsidR="000B64A5" w:rsidRDefault="008615BE" w:rsidP="008615BE">
      <w:pPr>
        <w:pStyle w:val="ListParagraph"/>
        <w:numPr>
          <w:ilvl w:val="0"/>
          <w:numId w:val="3"/>
        </w:numPr>
        <w:spacing w:before="240"/>
        <w:contextualSpacing w:val="0"/>
        <w:rPr>
          <w:rFonts w:cs="Arial"/>
          <w:szCs w:val="24"/>
        </w:rPr>
      </w:pPr>
      <w:r w:rsidRPr="000B64A5">
        <w:rPr>
          <w:rFonts w:cs="Arial"/>
          <w:szCs w:val="24"/>
        </w:rPr>
        <w:t>Les entrepôts d’attente de catégorie PS sont des voies d’évitement que l’importateur possède ou exploite et qui servent à l’entreposage de wagons complets de marchandises importées qui n’ont pas encore obtenu la mainlevée de l’ASFC.</w:t>
      </w:r>
    </w:p>
    <w:p w14:paraId="62E01301" w14:textId="360ACA90" w:rsidR="000B64A5" w:rsidRDefault="008615BE" w:rsidP="008615BE">
      <w:pPr>
        <w:pStyle w:val="ListParagraph"/>
        <w:numPr>
          <w:ilvl w:val="0"/>
          <w:numId w:val="3"/>
        </w:numPr>
        <w:spacing w:before="240"/>
        <w:contextualSpacing w:val="0"/>
        <w:rPr>
          <w:rFonts w:cs="Arial"/>
          <w:szCs w:val="24"/>
        </w:rPr>
      </w:pPr>
      <w:r w:rsidRPr="000B64A5">
        <w:rPr>
          <w:rFonts w:cs="Arial"/>
          <w:szCs w:val="24"/>
        </w:rPr>
        <w:t>Pour qu’une demande d’agrément d’exploitation d’une voie d’évitement privée de catégorie PS soit approuvée, il faut que les conditions suivantes soient réunies :</w:t>
      </w:r>
    </w:p>
    <w:p w14:paraId="27D72639" w14:textId="77777777" w:rsidR="000B64A5" w:rsidRDefault="008615BE" w:rsidP="008615BE">
      <w:pPr>
        <w:pStyle w:val="ListParagraph"/>
        <w:numPr>
          <w:ilvl w:val="1"/>
          <w:numId w:val="3"/>
        </w:numPr>
        <w:spacing w:before="240"/>
        <w:contextualSpacing w:val="0"/>
        <w:rPr>
          <w:rFonts w:cs="Arial"/>
          <w:szCs w:val="24"/>
        </w:rPr>
      </w:pPr>
      <w:r w:rsidRPr="000B64A5">
        <w:rPr>
          <w:rFonts w:cs="Arial"/>
          <w:szCs w:val="24"/>
        </w:rPr>
        <w:t>l’emplacement se trouve dans un secteur desservi par l’ASFC;</w:t>
      </w:r>
    </w:p>
    <w:p w14:paraId="1854752A" w14:textId="2D3E6875" w:rsidR="000B64A5" w:rsidRDefault="008615BE" w:rsidP="008615BE">
      <w:pPr>
        <w:pStyle w:val="ListParagraph"/>
        <w:numPr>
          <w:ilvl w:val="1"/>
          <w:numId w:val="3"/>
        </w:numPr>
        <w:spacing w:before="240"/>
        <w:contextualSpacing w:val="0"/>
        <w:rPr>
          <w:rFonts w:cs="Arial"/>
          <w:szCs w:val="24"/>
        </w:rPr>
      </w:pPr>
      <w:r w:rsidRPr="000B64A5">
        <w:rPr>
          <w:rFonts w:cs="Arial"/>
          <w:szCs w:val="24"/>
        </w:rPr>
        <w:t>l’ASFC peut offrir les services requis;</w:t>
      </w:r>
    </w:p>
    <w:p w14:paraId="06B20124" w14:textId="77777777" w:rsidR="000B64A5" w:rsidRDefault="008615BE" w:rsidP="008615BE">
      <w:pPr>
        <w:pStyle w:val="ListParagraph"/>
        <w:numPr>
          <w:ilvl w:val="1"/>
          <w:numId w:val="3"/>
        </w:numPr>
        <w:spacing w:before="240"/>
        <w:contextualSpacing w:val="0"/>
        <w:rPr>
          <w:rFonts w:cs="Arial"/>
          <w:szCs w:val="24"/>
        </w:rPr>
      </w:pPr>
      <w:r w:rsidRPr="000B64A5">
        <w:rPr>
          <w:rFonts w:cs="Arial"/>
          <w:szCs w:val="24"/>
        </w:rPr>
        <w:t>les marchandises sont expédiées en wagon complet, avec un seul document de contrôle du fret ferroviaire, et sont destinées à l’importateur bénéficiant des privilèges liés aux voies d’évitement privées;</w:t>
      </w:r>
    </w:p>
    <w:p w14:paraId="0938179E" w14:textId="77777777" w:rsidR="000B64A5" w:rsidRDefault="008615BE" w:rsidP="000B64A5">
      <w:pPr>
        <w:pStyle w:val="ListParagraph"/>
        <w:numPr>
          <w:ilvl w:val="0"/>
          <w:numId w:val="3"/>
        </w:numPr>
        <w:spacing w:before="240"/>
        <w:contextualSpacing w:val="0"/>
        <w:rPr>
          <w:rFonts w:cs="Arial"/>
          <w:szCs w:val="24"/>
        </w:rPr>
      </w:pPr>
      <w:r w:rsidRPr="000B64A5">
        <w:rPr>
          <w:rFonts w:cs="Arial"/>
          <w:szCs w:val="24"/>
        </w:rPr>
        <w:lastRenderedPageBreak/>
        <w:t>Dans le cas des entrepôts de catégorie PS, la demande doit être accompagnée des documents suivants :</w:t>
      </w:r>
    </w:p>
    <w:p w14:paraId="08416805" w14:textId="4E3A08D9" w:rsidR="000B64A5" w:rsidRDefault="008615BE" w:rsidP="008615BE">
      <w:pPr>
        <w:pStyle w:val="ListParagraph"/>
        <w:numPr>
          <w:ilvl w:val="1"/>
          <w:numId w:val="3"/>
        </w:numPr>
        <w:spacing w:before="240"/>
        <w:contextualSpacing w:val="0"/>
        <w:rPr>
          <w:rFonts w:cs="Arial"/>
          <w:szCs w:val="24"/>
        </w:rPr>
      </w:pPr>
      <w:r w:rsidRPr="000B64A5">
        <w:rPr>
          <w:rFonts w:cs="Arial"/>
          <w:szCs w:val="24"/>
        </w:rPr>
        <w:t xml:space="preserve">un plan de la propriété indiquant l’emplacement de la voie d’évitement à l’intérieur de la </w:t>
      </w:r>
      <w:r w:rsidR="00A50A3E">
        <w:rPr>
          <w:rFonts w:cs="Arial"/>
          <w:szCs w:val="24"/>
        </w:rPr>
        <w:t>gare</w:t>
      </w:r>
      <w:r w:rsidRPr="000B64A5">
        <w:rPr>
          <w:rFonts w:cs="Arial"/>
          <w:szCs w:val="24"/>
        </w:rPr>
        <w:t>;</w:t>
      </w:r>
    </w:p>
    <w:p w14:paraId="4A550D1A" w14:textId="7577DED7" w:rsidR="000B64A5" w:rsidRDefault="008615BE" w:rsidP="008615BE">
      <w:pPr>
        <w:pStyle w:val="ListParagraph"/>
        <w:numPr>
          <w:ilvl w:val="1"/>
          <w:numId w:val="3"/>
        </w:numPr>
        <w:spacing w:before="240"/>
        <w:contextualSpacing w:val="0"/>
        <w:rPr>
          <w:rFonts w:cs="Arial"/>
          <w:szCs w:val="24"/>
        </w:rPr>
      </w:pPr>
      <w:r w:rsidRPr="000B64A5">
        <w:rPr>
          <w:rFonts w:cs="Arial"/>
          <w:szCs w:val="24"/>
        </w:rPr>
        <w:t>une lettre confirmant que les marchandises seront expédiées en wagon complet, à la faveur d’un seul document de contrôle du fret ferroviaire, et seront destinées à l’importateur bénéficiant des privilèges liés aux voies d’évitement privées;</w:t>
      </w:r>
    </w:p>
    <w:p w14:paraId="7F85AFED" w14:textId="12ACC4AF" w:rsidR="000B64A5" w:rsidRDefault="008615BE" w:rsidP="008615BE">
      <w:pPr>
        <w:pStyle w:val="ListParagraph"/>
        <w:numPr>
          <w:ilvl w:val="1"/>
          <w:numId w:val="3"/>
        </w:numPr>
        <w:spacing w:before="240"/>
        <w:contextualSpacing w:val="0"/>
        <w:rPr>
          <w:rFonts w:cs="Arial"/>
          <w:szCs w:val="24"/>
        </w:rPr>
      </w:pPr>
      <w:r w:rsidRPr="000B64A5">
        <w:rPr>
          <w:rFonts w:cs="Arial"/>
          <w:szCs w:val="24"/>
        </w:rPr>
        <w:t xml:space="preserve">la garantie exigée en vertu du paragraphe 4(1) du </w:t>
      </w:r>
      <w:r w:rsidRPr="00C35AAE">
        <w:rPr>
          <w:rFonts w:cs="Arial"/>
          <w:i/>
          <w:iCs/>
          <w:szCs w:val="24"/>
        </w:rPr>
        <w:t>Règlement</w:t>
      </w:r>
      <w:r w:rsidRPr="000B64A5">
        <w:rPr>
          <w:rFonts w:cs="Arial"/>
          <w:szCs w:val="24"/>
        </w:rPr>
        <w:t xml:space="preserve"> ou un document confirmant que cette garantie sera déposée à la réception de l’agrément.</w:t>
      </w:r>
    </w:p>
    <w:p w14:paraId="572633EB" w14:textId="3D5F6736" w:rsidR="000B64A5" w:rsidRDefault="008615BE" w:rsidP="008615BE">
      <w:pPr>
        <w:pStyle w:val="ListParagraph"/>
        <w:numPr>
          <w:ilvl w:val="0"/>
          <w:numId w:val="3"/>
        </w:numPr>
        <w:spacing w:before="240"/>
        <w:contextualSpacing w:val="0"/>
        <w:rPr>
          <w:rFonts w:cs="Arial"/>
          <w:szCs w:val="24"/>
        </w:rPr>
      </w:pPr>
      <w:r w:rsidRPr="000B64A5">
        <w:rPr>
          <w:rFonts w:cs="Arial"/>
          <w:szCs w:val="24"/>
        </w:rPr>
        <w:t>Les sections « Sous</w:t>
      </w:r>
      <w:r w:rsidRPr="000B64A5">
        <w:rPr>
          <w:rFonts w:cs="Arial"/>
          <w:szCs w:val="24"/>
        </w:rPr>
        <w:noBreakHyphen/>
        <w:t>location d’un entrepôt d’attente », paragraphes </w:t>
      </w:r>
      <w:r w:rsidR="00445D5D">
        <w:rPr>
          <w:rFonts w:cs="Arial"/>
          <w:szCs w:val="24"/>
        </w:rPr>
        <w:t>50</w:t>
      </w:r>
      <w:r w:rsidR="00F60E64">
        <w:rPr>
          <w:rFonts w:cs="Arial"/>
          <w:szCs w:val="24"/>
        </w:rPr>
        <w:t xml:space="preserve"> à </w:t>
      </w:r>
      <w:r w:rsidRPr="000B64A5">
        <w:rPr>
          <w:rFonts w:cs="Arial"/>
          <w:szCs w:val="24"/>
        </w:rPr>
        <w:t>5</w:t>
      </w:r>
      <w:r w:rsidR="00445D5D">
        <w:rPr>
          <w:rFonts w:cs="Arial"/>
          <w:szCs w:val="24"/>
        </w:rPr>
        <w:t>4</w:t>
      </w:r>
      <w:r w:rsidRPr="000B64A5">
        <w:rPr>
          <w:rFonts w:cs="Arial"/>
          <w:szCs w:val="24"/>
        </w:rPr>
        <w:t>, «</w:t>
      </w:r>
      <w:r w:rsidR="00F60E64">
        <w:rPr>
          <w:rFonts w:cs="Arial"/>
          <w:szCs w:val="24"/>
        </w:rPr>
        <w:t> </w:t>
      </w:r>
      <w:r w:rsidRPr="000B64A5">
        <w:rPr>
          <w:rFonts w:cs="Arial"/>
          <w:szCs w:val="24"/>
        </w:rPr>
        <w:t>Exigences relatives au bâtiment</w:t>
      </w:r>
      <w:r w:rsidR="00F60E64">
        <w:rPr>
          <w:rFonts w:cs="Arial"/>
          <w:szCs w:val="24"/>
        </w:rPr>
        <w:t> </w:t>
      </w:r>
      <w:r w:rsidRPr="000B64A5">
        <w:rPr>
          <w:rFonts w:cs="Arial"/>
          <w:szCs w:val="24"/>
        </w:rPr>
        <w:t>», paragraphes 6</w:t>
      </w:r>
      <w:r w:rsidR="00CA2D6B">
        <w:rPr>
          <w:rFonts w:cs="Arial"/>
          <w:szCs w:val="24"/>
        </w:rPr>
        <w:t>8</w:t>
      </w:r>
      <w:r w:rsidR="00F60E64">
        <w:rPr>
          <w:rFonts w:cs="Arial"/>
          <w:szCs w:val="24"/>
        </w:rPr>
        <w:t xml:space="preserve"> à </w:t>
      </w:r>
      <w:r w:rsidRPr="000B64A5">
        <w:rPr>
          <w:rFonts w:cs="Arial"/>
          <w:szCs w:val="24"/>
        </w:rPr>
        <w:t>7</w:t>
      </w:r>
      <w:r w:rsidR="00CA2D6B">
        <w:rPr>
          <w:rFonts w:cs="Arial"/>
          <w:szCs w:val="24"/>
        </w:rPr>
        <w:t>1</w:t>
      </w:r>
      <w:r w:rsidRPr="000B64A5">
        <w:rPr>
          <w:rFonts w:cs="Arial"/>
          <w:szCs w:val="24"/>
        </w:rPr>
        <w:t>, et «</w:t>
      </w:r>
      <w:r w:rsidR="00997056">
        <w:rPr>
          <w:rFonts w:cs="Arial"/>
          <w:szCs w:val="24"/>
        </w:rPr>
        <w:t> </w:t>
      </w:r>
      <w:r w:rsidRPr="000B64A5">
        <w:rPr>
          <w:rFonts w:cs="Arial"/>
          <w:szCs w:val="24"/>
        </w:rPr>
        <w:t>Modifications apportées au bâtiment</w:t>
      </w:r>
      <w:r w:rsidR="00997056">
        <w:rPr>
          <w:rFonts w:cs="Arial"/>
          <w:szCs w:val="24"/>
        </w:rPr>
        <w:t> </w:t>
      </w:r>
      <w:r w:rsidRPr="000B64A5">
        <w:rPr>
          <w:rFonts w:cs="Arial"/>
          <w:szCs w:val="24"/>
        </w:rPr>
        <w:t>», paragraphes 7</w:t>
      </w:r>
      <w:r w:rsidR="00445D5D">
        <w:rPr>
          <w:rFonts w:cs="Arial"/>
          <w:szCs w:val="24"/>
        </w:rPr>
        <w:t>2</w:t>
      </w:r>
      <w:r w:rsidR="00997056">
        <w:rPr>
          <w:rFonts w:cs="Arial"/>
          <w:szCs w:val="24"/>
        </w:rPr>
        <w:t xml:space="preserve"> à </w:t>
      </w:r>
      <w:r w:rsidRPr="000B64A5">
        <w:rPr>
          <w:rFonts w:cs="Arial"/>
          <w:szCs w:val="24"/>
        </w:rPr>
        <w:t>7</w:t>
      </w:r>
      <w:r w:rsidR="00445D5D">
        <w:rPr>
          <w:rFonts w:cs="Arial"/>
          <w:szCs w:val="24"/>
        </w:rPr>
        <w:t>4</w:t>
      </w:r>
      <w:r w:rsidRPr="000B64A5">
        <w:rPr>
          <w:rFonts w:cs="Arial"/>
          <w:szCs w:val="24"/>
        </w:rPr>
        <w:t>, du présent mémorandum ne s’appliquent pas aux voies d’évitement privées. Le processus de demande et les autres exigences concernant l’octroi de l’agrément de l’entrepôt d’attente de catégorie PS sont énoncés au début du paragraphe </w:t>
      </w:r>
      <w:r w:rsidR="00445D5D">
        <w:rPr>
          <w:rFonts w:cs="Arial"/>
          <w:szCs w:val="24"/>
        </w:rPr>
        <w:t>5</w:t>
      </w:r>
      <w:r w:rsidRPr="000B64A5">
        <w:rPr>
          <w:rFonts w:cs="Arial"/>
          <w:szCs w:val="24"/>
        </w:rPr>
        <w:t xml:space="preserve"> dans le présent document.</w:t>
      </w:r>
    </w:p>
    <w:p w14:paraId="590737E2" w14:textId="10075411" w:rsidR="000B64A5" w:rsidRPr="000B64A5" w:rsidRDefault="000B64A5" w:rsidP="000B64A5">
      <w:pPr>
        <w:pStyle w:val="Heading4"/>
      </w:pPr>
      <w:r w:rsidRPr="00B84819">
        <w:rPr>
          <w:bCs/>
        </w:rPr>
        <w:t>Catégorie </w:t>
      </w:r>
      <w:r>
        <w:rPr>
          <w:bCs/>
        </w:rPr>
        <w:t>PS</w:t>
      </w:r>
      <w:r w:rsidRPr="00B84819">
        <w:rPr>
          <w:bCs/>
        </w:rPr>
        <w:t xml:space="preserve"> </w:t>
      </w:r>
      <w:r w:rsidR="0055714D">
        <w:rPr>
          <w:bCs/>
        </w:rPr>
        <w:t>–</w:t>
      </w:r>
      <w:r w:rsidRPr="00B84819">
        <w:rPr>
          <w:bCs/>
        </w:rPr>
        <w:t xml:space="preserve"> </w:t>
      </w:r>
      <w:r w:rsidR="002D2362">
        <w:rPr>
          <w:bCs/>
        </w:rPr>
        <w:t>e</w:t>
      </w:r>
      <w:r w:rsidRPr="00B84819">
        <w:rPr>
          <w:bCs/>
        </w:rPr>
        <w:t>xigences</w:t>
      </w:r>
      <w:r w:rsidRPr="00B84819">
        <w:t xml:space="preserve"> et restrictions relatives aux entrepôts d’attente</w:t>
      </w:r>
    </w:p>
    <w:p w14:paraId="4312D1A0" w14:textId="605B31FB" w:rsidR="000B64A5" w:rsidRDefault="008615BE" w:rsidP="000B64A5">
      <w:pPr>
        <w:pStyle w:val="ListParagraph"/>
        <w:numPr>
          <w:ilvl w:val="0"/>
          <w:numId w:val="3"/>
        </w:numPr>
        <w:spacing w:before="240"/>
        <w:contextualSpacing w:val="0"/>
        <w:rPr>
          <w:rFonts w:cs="Arial"/>
          <w:szCs w:val="24"/>
        </w:rPr>
      </w:pPr>
      <w:r w:rsidRPr="000B64A5">
        <w:rPr>
          <w:rFonts w:cs="Arial"/>
          <w:szCs w:val="24"/>
        </w:rPr>
        <w:t xml:space="preserve">Les exigences et restrictions pour </w:t>
      </w:r>
      <w:r w:rsidR="00B878D7">
        <w:rPr>
          <w:rFonts w:cs="Arial"/>
          <w:szCs w:val="24"/>
        </w:rPr>
        <w:t>exploiter</w:t>
      </w:r>
      <w:r w:rsidRPr="000B64A5">
        <w:rPr>
          <w:rFonts w:cs="Arial"/>
          <w:szCs w:val="24"/>
        </w:rPr>
        <w:t xml:space="preserve"> un entrepôt de catégorie PS sont les suivantes :</w:t>
      </w:r>
    </w:p>
    <w:p w14:paraId="347961D7" w14:textId="6FAFB72B" w:rsidR="000B64A5" w:rsidRPr="000B64A5" w:rsidRDefault="000B64A5" w:rsidP="000B64A5">
      <w:pPr>
        <w:pStyle w:val="ListParagraph"/>
        <w:numPr>
          <w:ilvl w:val="1"/>
          <w:numId w:val="3"/>
        </w:numPr>
        <w:spacing w:before="240"/>
        <w:contextualSpacing w:val="0"/>
        <w:rPr>
          <w:rFonts w:cs="Arial"/>
          <w:szCs w:val="24"/>
        </w:rPr>
      </w:pPr>
      <w:r w:rsidRPr="000B64A5">
        <w:rPr>
          <w:rFonts w:cs="Arial"/>
          <w:szCs w:val="24"/>
        </w:rPr>
        <w:t>Catégorie d’entrepôt : PS</w:t>
      </w:r>
    </w:p>
    <w:p w14:paraId="2FAB3D6A"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Exigences de livraison : livraison directe autorisée</w:t>
      </w:r>
    </w:p>
    <w:p w14:paraId="575FC9D9"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Type de marchandises : marchandises diverses</w:t>
      </w:r>
    </w:p>
    <w:p w14:paraId="10CF6878"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Mode : ferroviaire</w:t>
      </w:r>
    </w:p>
    <w:p w14:paraId="7FE786E0"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Dégroupement/groupement : non</w:t>
      </w:r>
    </w:p>
    <w:p w14:paraId="702E43EC" w14:textId="77D3DAF5"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 xml:space="preserve">Type de demande : </w:t>
      </w:r>
      <w:r w:rsidR="00AD5191">
        <w:rPr>
          <w:rFonts w:ascii="Arial" w:hAnsi="Arial" w:cs="Arial"/>
          <w:sz w:val="24"/>
          <w:szCs w:val="24"/>
          <w:lang w:val="fr-CA"/>
        </w:rPr>
        <w:t>BSF897</w:t>
      </w:r>
    </w:p>
    <w:p w14:paraId="39F09B03" w14:textId="77777777"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Nature du service : sur place</w:t>
      </w:r>
    </w:p>
    <w:p w14:paraId="5E7799AE" w14:textId="25995B2D" w:rsidR="000B64A5" w:rsidRPr="008615BE"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Autorité déléguée d</w:t>
      </w:r>
      <w:r w:rsidR="00B878D7">
        <w:rPr>
          <w:rFonts w:ascii="Arial" w:hAnsi="Arial" w:cs="Arial"/>
          <w:sz w:val="24"/>
          <w:szCs w:val="24"/>
          <w:lang w:val="fr-CA"/>
        </w:rPr>
        <w:t>’agrément</w:t>
      </w:r>
      <w:r w:rsidRPr="008615BE">
        <w:rPr>
          <w:rFonts w:ascii="Arial" w:hAnsi="Arial" w:cs="Arial"/>
          <w:sz w:val="24"/>
          <w:szCs w:val="24"/>
          <w:lang w:val="fr-CA"/>
        </w:rPr>
        <w:t> : région</w:t>
      </w:r>
    </w:p>
    <w:p w14:paraId="5FC94F97" w14:textId="074BA3E5" w:rsidR="000B64A5" w:rsidRPr="000B64A5" w:rsidRDefault="000B64A5" w:rsidP="000B64A5">
      <w:pPr>
        <w:spacing w:after="0" w:line="345" w:lineRule="exact"/>
        <w:ind w:left="1440"/>
        <w:rPr>
          <w:rFonts w:ascii="Arial" w:hAnsi="Arial" w:cs="Arial"/>
          <w:sz w:val="24"/>
          <w:szCs w:val="24"/>
          <w:lang w:val="fr-CA"/>
        </w:rPr>
      </w:pPr>
      <w:r w:rsidRPr="008615BE">
        <w:rPr>
          <w:rFonts w:ascii="Arial" w:hAnsi="Arial" w:cs="Arial"/>
          <w:sz w:val="24"/>
          <w:szCs w:val="24"/>
          <w:lang w:val="fr-CA"/>
        </w:rPr>
        <w:t>Autres restrictions</w:t>
      </w:r>
      <w:r w:rsidR="00B878D7">
        <w:rPr>
          <w:rFonts w:ascii="Arial" w:hAnsi="Arial" w:cs="Arial"/>
          <w:sz w:val="24"/>
          <w:szCs w:val="24"/>
          <w:lang w:val="fr-CA"/>
        </w:rPr>
        <w:t> </w:t>
      </w:r>
      <w:r w:rsidRPr="008615BE">
        <w:rPr>
          <w:rFonts w:ascii="Arial" w:hAnsi="Arial" w:cs="Arial"/>
          <w:sz w:val="24"/>
          <w:szCs w:val="24"/>
          <w:lang w:val="fr-CA"/>
        </w:rPr>
        <w:t>: exploité par les importateurs</w:t>
      </w:r>
    </w:p>
    <w:p w14:paraId="1342235C" w14:textId="33ABD33F" w:rsidR="000B64A5" w:rsidRDefault="008615BE" w:rsidP="000B64A5">
      <w:pPr>
        <w:pStyle w:val="ListParagraph"/>
        <w:numPr>
          <w:ilvl w:val="0"/>
          <w:numId w:val="3"/>
        </w:numPr>
        <w:spacing w:before="240"/>
        <w:contextualSpacing w:val="0"/>
        <w:rPr>
          <w:rFonts w:cs="Arial"/>
          <w:szCs w:val="24"/>
        </w:rPr>
      </w:pPr>
      <w:r w:rsidRPr="000B64A5">
        <w:rPr>
          <w:rFonts w:cs="Arial"/>
          <w:szCs w:val="24"/>
        </w:rPr>
        <w:lastRenderedPageBreak/>
        <w:t xml:space="preserve">Chaque fois que l’ASFC n’offre pas des services </w:t>
      </w:r>
      <w:r w:rsidR="005B1FB2">
        <w:rPr>
          <w:rFonts w:cs="Arial"/>
          <w:szCs w:val="24"/>
        </w:rPr>
        <w:t xml:space="preserve">d’examens </w:t>
      </w:r>
      <w:r w:rsidRPr="000B64A5">
        <w:rPr>
          <w:rFonts w:cs="Arial"/>
          <w:szCs w:val="24"/>
        </w:rPr>
        <w:t>sur place, l</w:t>
      </w:r>
      <w:r w:rsidR="005B1FB2">
        <w:rPr>
          <w:rFonts w:cs="Arial"/>
          <w:szCs w:val="24"/>
        </w:rPr>
        <w:t>’</w:t>
      </w:r>
      <w:r w:rsidRPr="000B64A5">
        <w:rPr>
          <w:rFonts w:cs="Arial"/>
          <w:szCs w:val="24"/>
        </w:rPr>
        <w:t xml:space="preserve">exploitant </w:t>
      </w:r>
      <w:r w:rsidR="005B1FB2">
        <w:rPr>
          <w:rFonts w:cs="Arial"/>
          <w:szCs w:val="24"/>
        </w:rPr>
        <w:t>est</w:t>
      </w:r>
      <w:r w:rsidRPr="000B64A5">
        <w:rPr>
          <w:rFonts w:cs="Arial"/>
          <w:szCs w:val="24"/>
        </w:rPr>
        <w:t xml:space="preserve"> tenu de prendre des arrangements, </w:t>
      </w:r>
      <w:r w:rsidR="005B1FB2">
        <w:rPr>
          <w:rFonts w:cs="Arial"/>
          <w:szCs w:val="24"/>
        </w:rPr>
        <w:t xml:space="preserve">sous réserve de </w:t>
      </w:r>
      <w:r w:rsidRPr="000B64A5">
        <w:rPr>
          <w:rFonts w:cs="Arial"/>
          <w:szCs w:val="24"/>
        </w:rPr>
        <w:t xml:space="preserve">l’approbation de l’ASFC, avec un entrepôt d’attente existant pour </w:t>
      </w:r>
      <w:r w:rsidR="005B1FB2">
        <w:rPr>
          <w:rFonts w:cs="Arial"/>
          <w:szCs w:val="24"/>
        </w:rPr>
        <w:t>traiter</w:t>
      </w:r>
      <w:r w:rsidRPr="000B64A5">
        <w:rPr>
          <w:rFonts w:cs="Arial"/>
          <w:szCs w:val="24"/>
        </w:rPr>
        <w:t xml:space="preserve"> </w:t>
      </w:r>
      <w:r w:rsidR="005B1FB2">
        <w:rPr>
          <w:rFonts w:cs="Arial"/>
          <w:szCs w:val="24"/>
        </w:rPr>
        <w:t xml:space="preserve">les </w:t>
      </w:r>
      <w:r w:rsidRPr="000B64A5">
        <w:rPr>
          <w:rFonts w:cs="Arial"/>
          <w:szCs w:val="24"/>
        </w:rPr>
        <w:t>marchandises devant faire l’objet d’un examen.</w:t>
      </w:r>
      <w:bookmarkStart w:id="131" w:name="_bookmark40"/>
      <w:bookmarkStart w:id="132" w:name="PenaltyInformation"/>
      <w:bookmarkEnd w:id="118"/>
      <w:bookmarkEnd w:id="131"/>
      <w:bookmarkEnd w:id="132"/>
    </w:p>
    <w:p w14:paraId="199D4715" w14:textId="6B533B50" w:rsidR="000B64A5" w:rsidRDefault="000B64A5" w:rsidP="000B64A5">
      <w:pPr>
        <w:pStyle w:val="Heading3"/>
      </w:pPr>
      <w:bookmarkStart w:id="133" w:name="_Renseignements_sur_les"/>
      <w:bookmarkEnd w:id="133"/>
      <w:r w:rsidRPr="000B64A5">
        <w:t>Renseignements sur les pénalités</w:t>
      </w:r>
    </w:p>
    <w:p w14:paraId="0612CDBD" w14:textId="5E9D62A1" w:rsidR="000B64A5" w:rsidRDefault="008615BE" w:rsidP="008615BE">
      <w:pPr>
        <w:pStyle w:val="ListParagraph"/>
        <w:numPr>
          <w:ilvl w:val="0"/>
          <w:numId w:val="3"/>
        </w:numPr>
        <w:spacing w:before="240"/>
        <w:contextualSpacing w:val="0"/>
        <w:rPr>
          <w:rFonts w:cs="Arial"/>
          <w:szCs w:val="24"/>
        </w:rPr>
      </w:pPr>
      <w:r w:rsidRPr="000B64A5">
        <w:rPr>
          <w:rFonts w:cs="Arial"/>
          <w:szCs w:val="24"/>
        </w:rPr>
        <w:t xml:space="preserve">L’exploitant d’un entrepôt d’attente est responsable </w:t>
      </w:r>
      <w:r w:rsidR="00CE11ED">
        <w:rPr>
          <w:rFonts w:cs="Arial"/>
          <w:szCs w:val="24"/>
        </w:rPr>
        <w:t>vis-à-vis du</w:t>
      </w:r>
      <w:r w:rsidRPr="000B64A5">
        <w:rPr>
          <w:rFonts w:cs="Arial"/>
          <w:szCs w:val="24"/>
        </w:rPr>
        <w:t xml:space="preserve"> gouvernement du Canada de la sécurité de toutes les marchandises qui sont entreposées tant que leur entrée au Canada n’est pas officielle ou qu’elles n’ont pas été légalement enlevées de l’entrepôt. C’est à lui qu’il incombe de payer le plein montant des droits et des taxes exigibles s’il ne peut produire les marchandises en question ou convaincre les agents de l’ASFC qu’elles sont dûment entrées au Canada ou qu’elles ont été légalement enlevées de l’entrepôt ou détruites pendant qu’elles se trouvaient dans l’entrepôt.</w:t>
      </w:r>
    </w:p>
    <w:p w14:paraId="787A4365" w14:textId="492F5378" w:rsidR="000B64A5" w:rsidRDefault="008615BE" w:rsidP="008615BE">
      <w:pPr>
        <w:pStyle w:val="ListParagraph"/>
        <w:numPr>
          <w:ilvl w:val="0"/>
          <w:numId w:val="3"/>
        </w:numPr>
        <w:spacing w:before="240"/>
        <w:contextualSpacing w:val="0"/>
        <w:rPr>
          <w:rFonts w:cs="Arial"/>
          <w:szCs w:val="24"/>
        </w:rPr>
      </w:pPr>
      <w:r w:rsidRPr="000B64A5">
        <w:rPr>
          <w:rFonts w:cs="Arial"/>
          <w:szCs w:val="24"/>
        </w:rPr>
        <w:t>L</w:t>
      </w:r>
      <w:r w:rsidR="00EA29EC">
        <w:rPr>
          <w:rFonts w:cs="Arial"/>
          <w:szCs w:val="24"/>
        </w:rPr>
        <w:t>’</w:t>
      </w:r>
      <w:r w:rsidRPr="000B64A5">
        <w:rPr>
          <w:rFonts w:cs="Arial"/>
          <w:szCs w:val="24"/>
        </w:rPr>
        <w:t xml:space="preserve">exploitant </w:t>
      </w:r>
      <w:r w:rsidR="00EA29EC">
        <w:rPr>
          <w:rFonts w:cs="Arial"/>
          <w:szCs w:val="24"/>
        </w:rPr>
        <w:t>est</w:t>
      </w:r>
      <w:r w:rsidRPr="000B64A5">
        <w:rPr>
          <w:rFonts w:cs="Arial"/>
          <w:szCs w:val="24"/>
        </w:rPr>
        <w:t xml:space="preserve"> passible de pénalités </w:t>
      </w:r>
      <w:r w:rsidR="00EA29EC">
        <w:rPr>
          <w:rFonts w:cs="Arial"/>
          <w:szCs w:val="24"/>
        </w:rPr>
        <w:t>sous le régime</w:t>
      </w:r>
      <w:r w:rsidRPr="000B64A5">
        <w:rPr>
          <w:rFonts w:cs="Arial"/>
          <w:szCs w:val="24"/>
        </w:rPr>
        <w:t xml:space="preserve"> de la </w:t>
      </w:r>
      <w:r w:rsidRPr="00880932">
        <w:rPr>
          <w:rFonts w:cs="Arial"/>
          <w:i/>
          <w:iCs/>
          <w:szCs w:val="24"/>
        </w:rPr>
        <w:t>Loi</w:t>
      </w:r>
      <w:r w:rsidRPr="000B64A5">
        <w:rPr>
          <w:rFonts w:cs="Arial"/>
          <w:szCs w:val="24"/>
        </w:rPr>
        <w:t xml:space="preserve"> pour ne pas avoir respecté le</w:t>
      </w:r>
      <w:r w:rsidR="00B301F5">
        <w:rPr>
          <w:rFonts w:cs="Arial"/>
          <w:szCs w:val="24"/>
        </w:rPr>
        <w:t>s</w:t>
      </w:r>
      <w:r w:rsidRPr="000B64A5">
        <w:rPr>
          <w:rFonts w:cs="Arial"/>
          <w:szCs w:val="24"/>
        </w:rPr>
        <w:t xml:space="preserve"> </w:t>
      </w:r>
      <w:r w:rsidR="003E243C">
        <w:rPr>
          <w:rFonts w:cs="Arial"/>
          <w:szCs w:val="24"/>
        </w:rPr>
        <w:t>exigences réglementaires</w:t>
      </w:r>
      <w:r w:rsidRPr="000B64A5">
        <w:rPr>
          <w:rFonts w:cs="Arial"/>
          <w:szCs w:val="24"/>
        </w:rPr>
        <w:t xml:space="preserve">. Pour de plus amples renseignements sur le RSAP, consulter le </w:t>
      </w:r>
      <w:hyperlink r:id="rId48" w:history="1">
        <w:r w:rsidRPr="000B64A5">
          <w:rPr>
            <w:rStyle w:val="Hyperlink"/>
            <w:rFonts w:cs="Arial"/>
            <w:szCs w:val="24"/>
          </w:rPr>
          <w:t>Mémorandum D22-1-1</w:t>
        </w:r>
        <w:r w:rsidR="00F12533">
          <w:rPr>
            <w:rStyle w:val="Hyperlink"/>
            <w:rFonts w:cs="Arial"/>
            <w:szCs w:val="24"/>
          </w:rPr>
          <w:t> :</w:t>
        </w:r>
        <w:r w:rsidRPr="000B64A5">
          <w:rPr>
            <w:rStyle w:val="Hyperlink"/>
            <w:rFonts w:cs="Arial"/>
            <w:szCs w:val="24"/>
          </w:rPr>
          <w:t xml:space="preserve"> Régime de sanctions administratives pécuniaires</w:t>
        </w:r>
      </w:hyperlink>
      <w:r w:rsidRPr="000B64A5">
        <w:rPr>
          <w:rFonts w:cs="Arial"/>
          <w:szCs w:val="24"/>
        </w:rPr>
        <w:t xml:space="preserve">. Pour obtenir une liste des sanctions administratives pécuniaires, consulter le </w:t>
      </w:r>
      <w:hyperlink r:id="rId49" w:history="1">
        <w:r w:rsidRPr="000B64A5">
          <w:rPr>
            <w:rStyle w:val="Hyperlink"/>
            <w:rFonts w:cs="Arial"/>
            <w:szCs w:val="24"/>
          </w:rPr>
          <w:t>Document</w:t>
        </w:r>
        <w:r w:rsidRPr="000B64A5">
          <w:rPr>
            <w:rStyle w:val="Hyperlink"/>
            <w:rFonts w:cs="Arial"/>
            <w:szCs w:val="24"/>
          </w:rPr>
          <w:noBreakHyphen/>
          <w:t>maître des infractions</w:t>
        </w:r>
      </w:hyperlink>
      <w:r w:rsidRPr="000B64A5">
        <w:rPr>
          <w:rFonts w:cs="Arial"/>
          <w:szCs w:val="24"/>
        </w:rPr>
        <w:t xml:space="preserve"> sur le site Web de l’ASFC. </w:t>
      </w:r>
      <w:bookmarkStart w:id="134" w:name="_bookmark41"/>
      <w:bookmarkStart w:id="135" w:name="Monitoring"/>
      <w:bookmarkEnd w:id="134"/>
      <w:bookmarkEnd w:id="135"/>
    </w:p>
    <w:p w14:paraId="77B89114" w14:textId="41606DAF" w:rsidR="000B64A5" w:rsidRPr="000B64A5" w:rsidRDefault="000B64A5" w:rsidP="000B64A5">
      <w:pPr>
        <w:pStyle w:val="Heading3"/>
      </w:pPr>
      <w:bookmarkStart w:id="136" w:name="_Surveillance_et_contrôle"/>
      <w:bookmarkEnd w:id="136"/>
      <w:r w:rsidRPr="008615BE">
        <w:t>Surveillance et contrôle des entrepôts d’attente</w:t>
      </w:r>
    </w:p>
    <w:p w14:paraId="2840E7C8" w14:textId="1D296745" w:rsidR="000B64A5" w:rsidRDefault="008615BE" w:rsidP="008615BE">
      <w:pPr>
        <w:pStyle w:val="ListParagraph"/>
        <w:numPr>
          <w:ilvl w:val="0"/>
          <w:numId w:val="3"/>
        </w:numPr>
        <w:spacing w:before="240"/>
        <w:contextualSpacing w:val="0"/>
        <w:rPr>
          <w:rFonts w:cs="Arial"/>
          <w:szCs w:val="24"/>
        </w:rPr>
      </w:pPr>
      <w:r w:rsidRPr="000B64A5">
        <w:rPr>
          <w:rFonts w:cs="Arial"/>
          <w:szCs w:val="24"/>
        </w:rPr>
        <w:t xml:space="preserve">L’ASFC assure une surveillance continue des installations des entrepôts d’attente agréés et fait un contrôle périodique des entrepôts pour veiller à ce que les installations continuent de répondre à toutes les exigences </w:t>
      </w:r>
      <w:r w:rsidR="00EB09BF">
        <w:rPr>
          <w:rFonts w:cs="Arial"/>
          <w:szCs w:val="24"/>
        </w:rPr>
        <w:t>réglementaires</w:t>
      </w:r>
      <w:r w:rsidRPr="000B64A5">
        <w:rPr>
          <w:rFonts w:cs="Arial"/>
          <w:szCs w:val="24"/>
        </w:rPr>
        <w:t xml:space="preserve"> et du programme. L’ASFC suspend ou annule l’agrément de</w:t>
      </w:r>
      <w:r w:rsidR="0019469D">
        <w:rPr>
          <w:rFonts w:cs="Arial"/>
          <w:szCs w:val="24"/>
        </w:rPr>
        <w:t xml:space="preserve"> l’</w:t>
      </w:r>
      <w:r w:rsidRPr="000B64A5">
        <w:rPr>
          <w:rFonts w:cs="Arial"/>
          <w:szCs w:val="24"/>
        </w:rPr>
        <w:t>exploitant dont les installations, l’équipement ou les locaux ne respectent pas les exigences réglementaires opérationnelles. L</w:t>
      </w:r>
      <w:r w:rsidR="0019469D">
        <w:rPr>
          <w:rFonts w:cs="Arial"/>
          <w:szCs w:val="24"/>
        </w:rPr>
        <w:t>’</w:t>
      </w:r>
      <w:r w:rsidRPr="000B64A5">
        <w:rPr>
          <w:rFonts w:cs="Arial"/>
          <w:szCs w:val="24"/>
        </w:rPr>
        <w:t>exploitant reçoit un avis écrit de l’ASFC l</w:t>
      </w:r>
      <w:r w:rsidR="0019469D">
        <w:rPr>
          <w:rFonts w:cs="Arial"/>
          <w:szCs w:val="24"/>
        </w:rPr>
        <w:t>’</w:t>
      </w:r>
      <w:r w:rsidRPr="000B64A5">
        <w:rPr>
          <w:rFonts w:cs="Arial"/>
          <w:szCs w:val="24"/>
        </w:rPr>
        <w:t xml:space="preserve">informant de la suspension ou de l’annulation de </w:t>
      </w:r>
      <w:r w:rsidR="0019469D">
        <w:rPr>
          <w:rFonts w:cs="Arial"/>
          <w:szCs w:val="24"/>
        </w:rPr>
        <w:t>son</w:t>
      </w:r>
      <w:r w:rsidRPr="000B64A5">
        <w:rPr>
          <w:rFonts w:cs="Arial"/>
          <w:szCs w:val="24"/>
        </w:rPr>
        <w:t xml:space="preserve"> agrément et bénéficie d’un délai raisonnable pour corriger les lacunes relevées. </w:t>
      </w:r>
      <w:bookmarkStart w:id="137" w:name="_bookmark42"/>
      <w:bookmarkStart w:id="138" w:name="AdditionalInformation"/>
      <w:bookmarkStart w:id="139" w:name="_Definitions_[optional]"/>
      <w:bookmarkStart w:id="140" w:name="_Tables"/>
      <w:bookmarkEnd w:id="137"/>
      <w:bookmarkEnd w:id="138"/>
      <w:bookmarkEnd w:id="139"/>
      <w:bookmarkEnd w:id="140"/>
    </w:p>
    <w:p w14:paraId="2E8B5076" w14:textId="2F9A0F60" w:rsidR="000B64A5" w:rsidRPr="008615BE" w:rsidRDefault="000B64A5" w:rsidP="000B64A5">
      <w:pPr>
        <w:pStyle w:val="Heading2"/>
      </w:pPr>
      <w:bookmarkStart w:id="141" w:name="_Annexe_A_-"/>
      <w:bookmarkEnd w:id="141"/>
      <w:r w:rsidRPr="008615BE">
        <w:lastRenderedPageBreak/>
        <w:t>A</w:t>
      </w:r>
      <w:r w:rsidR="00196F26">
        <w:t>nnexe</w:t>
      </w:r>
      <w:r w:rsidRPr="008615BE">
        <w:t> A</w:t>
      </w:r>
      <w:bookmarkStart w:id="142" w:name="AppendixA"/>
      <w:bookmarkStart w:id="143" w:name="AppendixB"/>
      <w:bookmarkEnd w:id="142"/>
      <w:bookmarkEnd w:id="143"/>
      <w:r>
        <w:t xml:space="preserve"> </w:t>
      </w:r>
      <w:r w:rsidR="00C86331">
        <w:t>–</w:t>
      </w:r>
      <w:r>
        <w:t xml:space="preserve"> </w:t>
      </w:r>
      <w:r w:rsidR="00C86331">
        <w:t>C</w:t>
      </w:r>
      <w:r w:rsidRPr="008615BE">
        <w:t>ontrat de manutention du fre</w:t>
      </w:r>
      <w:r w:rsidRPr="008615BE">
        <w:rPr>
          <w:color w:val="auto"/>
        </w:rPr>
        <w:t>t</w:t>
      </w:r>
    </w:p>
    <w:p w14:paraId="328B8C1F" w14:textId="12D889D1" w:rsidR="000B64A5" w:rsidRPr="000B64A5" w:rsidRDefault="000B64A5" w:rsidP="002E79B2">
      <w:pPr>
        <w:pStyle w:val="Heading4"/>
      </w:pPr>
      <w:r w:rsidRPr="008615BE">
        <w:t>Fret importé</w:t>
      </w:r>
    </w:p>
    <w:p w14:paraId="16AA451C" w14:textId="77777777" w:rsidR="002E79B2" w:rsidRDefault="008615BE" w:rsidP="008615BE">
      <w:pPr>
        <w:pStyle w:val="ListParagraph"/>
        <w:numPr>
          <w:ilvl w:val="0"/>
          <w:numId w:val="16"/>
        </w:numPr>
        <w:spacing w:before="240"/>
        <w:contextualSpacing w:val="0"/>
        <w:rPr>
          <w:rFonts w:cs="Arial"/>
          <w:szCs w:val="24"/>
        </w:rPr>
      </w:pPr>
      <w:r w:rsidRPr="000B64A5">
        <w:rPr>
          <w:rFonts w:cs="Arial"/>
          <w:szCs w:val="24"/>
        </w:rPr>
        <w:t>Décharger les marchandises en vrac des véhicules, s’il y a lieu.</w:t>
      </w:r>
    </w:p>
    <w:p w14:paraId="4AFB43F4"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Défaire et vider les unités de chargement, p. ex. les palettes, les conteneurs.</w:t>
      </w:r>
    </w:p>
    <w:p w14:paraId="31164B15"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Comparer le fret qui arrive et les documents.</w:t>
      </w:r>
    </w:p>
    <w:p w14:paraId="198217B5"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Trier et entreposer le fret importé pour une période déterminée par consentement mutuel et conformément aux exigences de l’ASFC.</w:t>
      </w:r>
    </w:p>
    <w:p w14:paraId="4A507E7A"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Placer le fret sous contrôle de l’ASFC et expliquer les écarts conformément aux exigences de l’ASFC.</w:t>
      </w:r>
    </w:p>
    <w:p w14:paraId="625B3D5A" w14:textId="444C91E5" w:rsidR="002E79B2" w:rsidRDefault="008615BE" w:rsidP="008615BE">
      <w:pPr>
        <w:pStyle w:val="ListParagraph"/>
        <w:numPr>
          <w:ilvl w:val="0"/>
          <w:numId w:val="16"/>
        </w:numPr>
        <w:spacing w:before="240"/>
        <w:contextualSpacing w:val="0"/>
        <w:rPr>
          <w:rFonts w:cs="Arial"/>
          <w:szCs w:val="24"/>
        </w:rPr>
      </w:pPr>
      <w:r w:rsidRPr="002E79B2">
        <w:rPr>
          <w:rFonts w:cs="Arial"/>
          <w:szCs w:val="24"/>
        </w:rPr>
        <w:t>Av</w:t>
      </w:r>
      <w:r w:rsidR="008A6A10">
        <w:rPr>
          <w:rFonts w:cs="Arial"/>
          <w:szCs w:val="24"/>
        </w:rPr>
        <w:t>iser</w:t>
      </w:r>
      <w:r w:rsidRPr="002E79B2">
        <w:rPr>
          <w:rFonts w:cs="Arial"/>
          <w:szCs w:val="24"/>
        </w:rPr>
        <w:t xml:space="preserve"> le destinataire ou son mandataire de l’arrivée du fret selon les instructions du transporteur et les exigences de l’ASFC.</w:t>
      </w:r>
    </w:p>
    <w:p w14:paraId="522148AF" w14:textId="4ED4FE13" w:rsidR="002E79B2" w:rsidRDefault="008615BE" w:rsidP="008615BE">
      <w:pPr>
        <w:pStyle w:val="ListParagraph"/>
        <w:numPr>
          <w:ilvl w:val="0"/>
          <w:numId w:val="16"/>
        </w:numPr>
        <w:spacing w:before="240"/>
        <w:contextualSpacing w:val="0"/>
        <w:rPr>
          <w:rFonts w:cs="Arial"/>
          <w:szCs w:val="24"/>
        </w:rPr>
      </w:pPr>
      <w:r w:rsidRPr="002E79B2">
        <w:rPr>
          <w:rFonts w:cs="Arial"/>
          <w:szCs w:val="24"/>
        </w:rPr>
        <w:t xml:space="preserve">Fournir des installations pour </w:t>
      </w:r>
      <w:r w:rsidR="004776D0">
        <w:rPr>
          <w:rFonts w:cs="Arial"/>
          <w:szCs w:val="24"/>
        </w:rPr>
        <w:t xml:space="preserve">percevoir les </w:t>
      </w:r>
      <w:r w:rsidRPr="002E79B2">
        <w:rPr>
          <w:rFonts w:cs="Arial"/>
          <w:szCs w:val="24"/>
        </w:rPr>
        <w:t xml:space="preserve">frais </w:t>
      </w:r>
      <w:r w:rsidR="004776D0">
        <w:rPr>
          <w:rFonts w:cs="Arial"/>
          <w:szCs w:val="24"/>
        </w:rPr>
        <w:t>exigibles</w:t>
      </w:r>
      <w:r w:rsidRPr="002E79B2">
        <w:rPr>
          <w:rFonts w:cs="Arial"/>
          <w:szCs w:val="24"/>
        </w:rPr>
        <w:t>.</w:t>
      </w:r>
    </w:p>
    <w:p w14:paraId="6C4603E2"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Prendre les mesures qui s’imposent conformément aux instructions du transporteur lorsque le destinataire refuse l’expédition.</w:t>
      </w:r>
    </w:p>
    <w:p w14:paraId="5B8B3966" w14:textId="452E197A" w:rsidR="002E79B2" w:rsidRPr="002E79B2" w:rsidRDefault="002E79B2" w:rsidP="002E79B2">
      <w:pPr>
        <w:pStyle w:val="Heading4"/>
      </w:pPr>
      <w:r w:rsidRPr="008615BE">
        <w:t>Services de fret</w:t>
      </w:r>
    </w:p>
    <w:p w14:paraId="46AB27B4"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Dédouaner les marchandises selon les instructions des clients du transporteur et les exigences de l’ASFC.</w:t>
      </w:r>
    </w:p>
    <w:p w14:paraId="18C76EC4"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Entreposer le fret conformément aux exigences de l’ASFC.</w:t>
      </w:r>
    </w:p>
    <w:p w14:paraId="7EC0C085" w14:textId="6D53CC8C" w:rsidR="002E79B2" w:rsidRPr="002E79B2" w:rsidRDefault="002E79B2" w:rsidP="002E79B2">
      <w:pPr>
        <w:pStyle w:val="Heading4"/>
      </w:pPr>
      <w:r w:rsidRPr="008615BE">
        <w:t>Transfert de fret</w:t>
      </w:r>
    </w:p>
    <w:p w14:paraId="4FE49D76" w14:textId="77777777" w:rsidR="002E79B2" w:rsidRDefault="002E79B2" w:rsidP="008615BE">
      <w:pPr>
        <w:pStyle w:val="ListParagraph"/>
        <w:numPr>
          <w:ilvl w:val="0"/>
          <w:numId w:val="16"/>
        </w:numPr>
        <w:spacing w:before="240"/>
        <w:contextualSpacing w:val="0"/>
        <w:rPr>
          <w:rFonts w:cs="Arial"/>
          <w:szCs w:val="24"/>
        </w:rPr>
      </w:pPr>
    </w:p>
    <w:p w14:paraId="1717353A" w14:textId="77777777" w:rsidR="002E79B2" w:rsidRDefault="008615BE" w:rsidP="008615BE">
      <w:pPr>
        <w:pStyle w:val="ListParagraph"/>
        <w:numPr>
          <w:ilvl w:val="1"/>
          <w:numId w:val="16"/>
        </w:numPr>
        <w:spacing w:before="240"/>
        <w:contextualSpacing w:val="0"/>
        <w:rPr>
          <w:rFonts w:cs="Arial"/>
          <w:szCs w:val="24"/>
        </w:rPr>
      </w:pPr>
      <w:r w:rsidRPr="002E79B2">
        <w:rPr>
          <w:rFonts w:cs="Arial"/>
          <w:szCs w:val="24"/>
        </w:rPr>
        <w:t>Décharger les marchandises en vrac des véhicules.</w:t>
      </w:r>
    </w:p>
    <w:p w14:paraId="5CEC34F9" w14:textId="77777777" w:rsidR="002E79B2" w:rsidRDefault="008615BE" w:rsidP="008615BE">
      <w:pPr>
        <w:pStyle w:val="ListParagraph"/>
        <w:numPr>
          <w:ilvl w:val="1"/>
          <w:numId w:val="16"/>
        </w:numPr>
        <w:spacing w:before="240"/>
        <w:contextualSpacing w:val="0"/>
        <w:rPr>
          <w:rFonts w:cs="Arial"/>
          <w:szCs w:val="24"/>
        </w:rPr>
      </w:pPr>
      <w:r w:rsidRPr="002E79B2">
        <w:rPr>
          <w:rFonts w:cs="Arial"/>
          <w:szCs w:val="24"/>
        </w:rPr>
        <w:lastRenderedPageBreak/>
        <w:t>Défaire et vider les unités de chargement, p. ex. les palettes, les conteneurs.</w:t>
      </w:r>
    </w:p>
    <w:p w14:paraId="72458C6C" w14:textId="77777777" w:rsidR="002E79B2" w:rsidRDefault="008615BE" w:rsidP="008615BE">
      <w:pPr>
        <w:pStyle w:val="ListParagraph"/>
        <w:numPr>
          <w:ilvl w:val="1"/>
          <w:numId w:val="16"/>
        </w:numPr>
        <w:spacing w:before="240"/>
        <w:contextualSpacing w:val="0"/>
        <w:rPr>
          <w:rFonts w:cs="Arial"/>
          <w:szCs w:val="24"/>
        </w:rPr>
      </w:pPr>
      <w:r w:rsidRPr="002E79B2">
        <w:rPr>
          <w:rFonts w:cs="Arial"/>
          <w:szCs w:val="24"/>
        </w:rPr>
        <w:t>Comparer le fret qui arrive et les documents.</w:t>
      </w:r>
    </w:p>
    <w:p w14:paraId="5AB93053"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Conformément aux exigences de l’ASFC, placer les marchandises sous contrôle de l’ASFC et expliquer les écarts.</w:t>
      </w:r>
    </w:p>
    <w:p w14:paraId="78347543" w14:textId="77777777" w:rsidR="002E79B2" w:rsidRDefault="002E79B2" w:rsidP="008615BE">
      <w:pPr>
        <w:pStyle w:val="ListParagraph"/>
        <w:numPr>
          <w:ilvl w:val="0"/>
          <w:numId w:val="16"/>
        </w:numPr>
        <w:spacing w:before="240"/>
        <w:contextualSpacing w:val="0"/>
        <w:rPr>
          <w:rFonts w:cs="Arial"/>
          <w:szCs w:val="24"/>
        </w:rPr>
      </w:pPr>
    </w:p>
    <w:p w14:paraId="1078068B" w14:textId="77777777" w:rsidR="002E79B2" w:rsidRDefault="008615BE" w:rsidP="008615BE">
      <w:pPr>
        <w:pStyle w:val="ListParagraph"/>
        <w:numPr>
          <w:ilvl w:val="1"/>
          <w:numId w:val="16"/>
        </w:numPr>
        <w:spacing w:before="240"/>
        <w:contextualSpacing w:val="0"/>
        <w:rPr>
          <w:rFonts w:cs="Arial"/>
          <w:szCs w:val="24"/>
        </w:rPr>
      </w:pPr>
      <w:r w:rsidRPr="002E79B2">
        <w:rPr>
          <w:rFonts w:cs="Arial"/>
          <w:szCs w:val="24"/>
        </w:rPr>
        <w:t>Trier.</w:t>
      </w:r>
    </w:p>
    <w:p w14:paraId="488C2754" w14:textId="77777777" w:rsidR="002E79B2" w:rsidRDefault="008615BE" w:rsidP="008615BE">
      <w:pPr>
        <w:pStyle w:val="ListParagraph"/>
        <w:numPr>
          <w:ilvl w:val="1"/>
          <w:numId w:val="16"/>
        </w:numPr>
        <w:spacing w:before="240"/>
        <w:contextualSpacing w:val="0"/>
        <w:rPr>
          <w:rFonts w:cs="Arial"/>
          <w:szCs w:val="24"/>
        </w:rPr>
      </w:pPr>
      <w:r w:rsidRPr="002E79B2">
        <w:rPr>
          <w:rFonts w:cs="Arial"/>
          <w:szCs w:val="24"/>
        </w:rPr>
        <w:t>Entreposer le fret transféré pour une période déterminée par consentement mutuel avant l’expédition, conformément à la nature des marchandises et à l’itinéraire suivi.</w:t>
      </w:r>
    </w:p>
    <w:p w14:paraId="54A804DD"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Fournir l’équipement et les installations d’entreposage nécessaires pour le fret spécial, p. ex. les matières périssables, les animaux vivants, les objets de valeur, les films d’actualité et autres articles spéciaux.</w:t>
      </w:r>
    </w:p>
    <w:p w14:paraId="5DFB25DB"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Remplir les manifestes de transfert pour le fret devant être transporté par un autre transporteur.</w:t>
      </w:r>
    </w:p>
    <w:p w14:paraId="2B9C4A11"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Fournir le transport jusqu’à l’entrepôt du transporteur qui reçoit les marchandises transférées visées par un document de transfert ou tout autre document requis par l’ASFC.</w:t>
      </w:r>
    </w:p>
    <w:p w14:paraId="0CB78EEF" w14:textId="702EF364" w:rsidR="002E79B2" w:rsidRPr="002E79B2" w:rsidRDefault="002E79B2" w:rsidP="002E79B2">
      <w:pPr>
        <w:pStyle w:val="Heading4"/>
      </w:pPr>
      <w:r w:rsidRPr="008615BE">
        <w:t>Fret exporté (s’il y a lieu)</w:t>
      </w:r>
    </w:p>
    <w:p w14:paraId="36D694C3"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Fournir les locaux et les services pour l’acceptation du fret et faire en sorte que les marchandises et les documents, lorsqu’ils sont livrés en vue d’être expédiés directement ou par l’intermédiaire du mandataire du transporteur, soient préparés en vue de leur transport et que toute irrégularité soit signalée au transporteur.</w:t>
      </w:r>
    </w:p>
    <w:p w14:paraId="79A309A2"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Conformément aux exigences de l’ASFC, placer le fret sous contrôle de l’ASFC.</w:t>
      </w:r>
    </w:p>
    <w:p w14:paraId="13C55E1D" w14:textId="77777777" w:rsidR="002E79B2" w:rsidRDefault="002E79B2" w:rsidP="008615BE">
      <w:pPr>
        <w:pStyle w:val="ListParagraph"/>
        <w:numPr>
          <w:ilvl w:val="0"/>
          <w:numId w:val="16"/>
        </w:numPr>
        <w:spacing w:before="240"/>
        <w:contextualSpacing w:val="0"/>
        <w:rPr>
          <w:rFonts w:cs="Arial"/>
          <w:szCs w:val="24"/>
        </w:rPr>
      </w:pPr>
    </w:p>
    <w:p w14:paraId="43970CD0" w14:textId="77777777" w:rsidR="002E79B2" w:rsidRDefault="008615BE" w:rsidP="008615BE">
      <w:pPr>
        <w:pStyle w:val="ListParagraph"/>
        <w:numPr>
          <w:ilvl w:val="1"/>
          <w:numId w:val="16"/>
        </w:numPr>
        <w:spacing w:before="240"/>
        <w:contextualSpacing w:val="0"/>
        <w:rPr>
          <w:rFonts w:cs="Arial"/>
          <w:szCs w:val="24"/>
        </w:rPr>
      </w:pPr>
      <w:r w:rsidRPr="002E79B2">
        <w:rPr>
          <w:rFonts w:cs="Arial"/>
          <w:szCs w:val="24"/>
        </w:rPr>
        <w:lastRenderedPageBreak/>
        <w:t>Trier.</w:t>
      </w:r>
    </w:p>
    <w:p w14:paraId="701D7897" w14:textId="77777777" w:rsidR="002E79B2" w:rsidRDefault="008615BE" w:rsidP="008615BE">
      <w:pPr>
        <w:pStyle w:val="ListParagraph"/>
        <w:numPr>
          <w:ilvl w:val="1"/>
          <w:numId w:val="16"/>
        </w:numPr>
        <w:spacing w:before="240"/>
        <w:contextualSpacing w:val="0"/>
        <w:rPr>
          <w:rFonts w:cs="Arial"/>
          <w:szCs w:val="24"/>
        </w:rPr>
      </w:pPr>
      <w:r w:rsidRPr="002E79B2">
        <w:rPr>
          <w:rFonts w:cs="Arial"/>
          <w:szCs w:val="24"/>
        </w:rPr>
        <w:t>Entreposer le fret destiné à l’exportation pour une période déterminée par consentement mutuel avant l’expédition, conformément à la nature des marchandises et à l’itinéraire suivi.</w:t>
      </w:r>
    </w:p>
    <w:p w14:paraId="4480EDA8" w14:textId="5C23F179" w:rsidR="002E79B2" w:rsidRDefault="008E3BBB" w:rsidP="008615BE">
      <w:pPr>
        <w:pStyle w:val="ListParagraph"/>
        <w:numPr>
          <w:ilvl w:val="0"/>
          <w:numId w:val="16"/>
        </w:numPr>
        <w:spacing w:before="240"/>
        <w:contextualSpacing w:val="0"/>
        <w:rPr>
          <w:rFonts w:cs="Arial"/>
          <w:szCs w:val="24"/>
        </w:rPr>
      </w:pPr>
      <w:r>
        <w:rPr>
          <w:rFonts w:cs="Arial"/>
          <w:szCs w:val="24"/>
        </w:rPr>
        <w:t>Inventorier</w:t>
      </w:r>
      <w:r w:rsidR="008615BE" w:rsidRPr="002E79B2">
        <w:rPr>
          <w:rFonts w:cs="Arial"/>
          <w:szCs w:val="24"/>
        </w:rPr>
        <w:t xml:space="preserve"> et réunir les marchandises pour l’expédition selon leur poids et leur volume suivant la capacité des véhicules du transporteur.</w:t>
      </w:r>
    </w:p>
    <w:p w14:paraId="473E44B8" w14:textId="69F38F3D" w:rsidR="002E79B2" w:rsidRDefault="008615BE" w:rsidP="008615BE">
      <w:pPr>
        <w:pStyle w:val="ListParagraph"/>
        <w:numPr>
          <w:ilvl w:val="0"/>
          <w:numId w:val="16"/>
        </w:numPr>
        <w:spacing w:before="240"/>
        <w:contextualSpacing w:val="0"/>
        <w:rPr>
          <w:rFonts w:cs="Arial"/>
          <w:szCs w:val="24"/>
        </w:rPr>
      </w:pPr>
      <w:r w:rsidRPr="002E79B2">
        <w:rPr>
          <w:rFonts w:cs="Arial"/>
          <w:szCs w:val="24"/>
        </w:rPr>
        <w:t>Préparer la livraison à bord des véhicules</w:t>
      </w:r>
      <w:r w:rsidR="0057594B">
        <w:rPr>
          <w:rFonts w:cs="Arial"/>
          <w:szCs w:val="24"/>
        </w:rPr>
        <w:t> </w:t>
      </w:r>
      <w:r w:rsidRPr="002E79B2">
        <w:rPr>
          <w:rFonts w:cs="Arial"/>
          <w:szCs w:val="24"/>
        </w:rPr>
        <w:t>:</w:t>
      </w:r>
    </w:p>
    <w:p w14:paraId="40514FA6" w14:textId="77777777" w:rsidR="002E79B2" w:rsidRDefault="008615BE" w:rsidP="008615BE">
      <w:pPr>
        <w:pStyle w:val="ListParagraph"/>
        <w:numPr>
          <w:ilvl w:val="1"/>
          <w:numId w:val="16"/>
        </w:numPr>
        <w:spacing w:before="240"/>
        <w:contextualSpacing w:val="0"/>
        <w:rPr>
          <w:rFonts w:cs="Arial"/>
          <w:szCs w:val="24"/>
        </w:rPr>
      </w:pPr>
      <w:r w:rsidRPr="002E79B2">
        <w:rPr>
          <w:rFonts w:cs="Arial"/>
          <w:szCs w:val="24"/>
        </w:rPr>
        <w:t>du fret en vrac;</w:t>
      </w:r>
    </w:p>
    <w:p w14:paraId="12BA7B55" w14:textId="77777777" w:rsidR="002E79B2" w:rsidRDefault="008615BE" w:rsidP="008615BE">
      <w:pPr>
        <w:pStyle w:val="ListParagraph"/>
        <w:numPr>
          <w:ilvl w:val="1"/>
          <w:numId w:val="16"/>
        </w:numPr>
        <w:spacing w:before="240"/>
        <w:contextualSpacing w:val="0"/>
        <w:rPr>
          <w:rFonts w:cs="Arial"/>
          <w:szCs w:val="24"/>
        </w:rPr>
      </w:pPr>
      <w:r w:rsidRPr="002E79B2">
        <w:rPr>
          <w:rFonts w:cs="Arial"/>
          <w:szCs w:val="24"/>
        </w:rPr>
        <w:t>des unités de chargement, p. ex. les palettes, les conteneurs.</w:t>
      </w:r>
    </w:p>
    <w:p w14:paraId="63763218" w14:textId="77777777" w:rsidR="002E79B2" w:rsidRDefault="002E79B2" w:rsidP="002E79B2">
      <w:pPr>
        <w:pStyle w:val="ListParagraph"/>
        <w:numPr>
          <w:ilvl w:val="0"/>
          <w:numId w:val="16"/>
        </w:numPr>
        <w:spacing w:before="240"/>
        <w:contextualSpacing w:val="0"/>
        <w:rPr>
          <w:rFonts w:cs="Arial"/>
          <w:szCs w:val="24"/>
        </w:rPr>
      </w:pPr>
    </w:p>
    <w:p w14:paraId="7583EDC7" w14:textId="77777777" w:rsidR="002E79B2" w:rsidRDefault="008615BE" w:rsidP="008615BE">
      <w:pPr>
        <w:pStyle w:val="ListParagraph"/>
        <w:numPr>
          <w:ilvl w:val="1"/>
          <w:numId w:val="16"/>
        </w:numPr>
        <w:spacing w:before="240"/>
        <w:contextualSpacing w:val="0"/>
        <w:rPr>
          <w:rFonts w:cs="Arial"/>
          <w:szCs w:val="24"/>
        </w:rPr>
      </w:pPr>
      <w:r w:rsidRPr="002E79B2">
        <w:rPr>
          <w:rFonts w:cs="Arial"/>
          <w:szCs w:val="24"/>
        </w:rPr>
        <w:t>Remplir les documents de contrôle du fret.</w:t>
      </w:r>
    </w:p>
    <w:p w14:paraId="70FB1097" w14:textId="69E523A4" w:rsidR="002E79B2" w:rsidRDefault="008615BE" w:rsidP="008615BE">
      <w:pPr>
        <w:pStyle w:val="ListParagraph"/>
        <w:numPr>
          <w:ilvl w:val="1"/>
          <w:numId w:val="16"/>
        </w:numPr>
        <w:spacing w:before="240"/>
        <w:contextualSpacing w:val="0"/>
        <w:rPr>
          <w:rFonts w:cs="Arial"/>
          <w:szCs w:val="24"/>
        </w:rPr>
      </w:pPr>
      <w:r w:rsidRPr="002E79B2">
        <w:rPr>
          <w:rFonts w:cs="Arial"/>
          <w:szCs w:val="24"/>
        </w:rPr>
        <w:t>Séparer les séries de feuilles de route</w:t>
      </w:r>
      <w:r w:rsidR="005939D5">
        <w:rPr>
          <w:rFonts w:cs="Arial"/>
          <w:szCs w:val="24"/>
        </w:rPr>
        <w:t xml:space="preserve"> ou de </w:t>
      </w:r>
      <w:r w:rsidRPr="002E79B2">
        <w:rPr>
          <w:rFonts w:cs="Arial"/>
          <w:szCs w:val="24"/>
        </w:rPr>
        <w:t>feuilles d’expédition. Envoyer les copies pertinentes du document de contrôle du fret et des feuilles de route</w:t>
      </w:r>
      <w:r w:rsidR="005939D5">
        <w:rPr>
          <w:rFonts w:cs="Arial"/>
          <w:szCs w:val="24"/>
        </w:rPr>
        <w:t xml:space="preserve"> ou des </w:t>
      </w:r>
      <w:r w:rsidRPr="002E79B2">
        <w:rPr>
          <w:rFonts w:cs="Arial"/>
          <w:szCs w:val="24"/>
        </w:rPr>
        <w:t>feuilles d’expédition comme il a été convenu.</w:t>
      </w:r>
    </w:p>
    <w:p w14:paraId="4CF88E64" w14:textId="75B96AFA" w:rsidR="002E79B2" w:rsidRDefault="008615BE" w:rsidP="008615BE">
      <w:pPr>
        <w:pStyle w:val="ListParagraph"/>
        <w:numPr>
          <w:ilvl w:val="1"/>
          <w:numId w:val="16"/>
        </w:numPr>
        <w:spacing w:before="240"/>
        <w:contextualSpacing w:val="0"/>
        <w:rPr>
          <w:rFonts w:cs="Arial"/>
          <w:szCs w:val="24"/>
        </w:rPr>
      </w:pPr>
      <w:r w:rsidRPr="002E79B2">
        <w:rPr>
          <w:rFonts w:cs="Arial"/>
          <w:szCs w:val="24"/>
        </w:rPr>
        <w:t>S’il y a lieu, retourner la copie de la feuille de route</w:t>
      </w:r>
      <w:r w:rsidR="005C15B5">
        <w:rPr>
          <w:rFonts w:cs="Arial"/>
          <w:szCs w:val="24"/>
        </w:rPr>
        <w:t xml:space="preserve"> ou de la </w:t>
      </w:r>
      <w:r w:rsidRPr="002E79B2">
        <w:rPr>
          <w:rFonts w:cs="Arial"/>
          <w:szCs w:val="24"/>
        </w:rPr>
        <w:t xml:space="preserve">feuille d’expédition à l’expéditeur en inscrivant à l’endos les </w:t>
      </w:r>
      <w:r w:rsidR="005C15B5">
        <w:rPr>
          <w:rFonts w:cs="Arial"/>
          <w:szCs w:val="24"/>
        </w:rPr>
        <w:t xml:space="preserve">renseignements sur </w:t>
      </w:r>
      <w:r w:rsidRPr="002E79B2">
        <w:rPr>
          <w:rFonts w:cs="Arial"/>
          <w:szCs w:val="24"/>
        </w:rPr>
        <w:t>l’expédition.</w:t>
      </w:r>
    </w:p>
    <w:p w14:paraId="12718AE7"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Obtenir le dédouanement de l’ASFC à l’exportation.</w:t>
      </w:r>
    </w:p>
    <w:p w14:paraId="468A6DA8" w14:textId="2CF99042" w:rsidR="002E79B2" w:rsidRPr="002E79B2" w:rsidRDefault="002E79B2" w:rsidP="002E79B2">
      <w:pPr>
        <w:pStyle w:val="Heading4"/>
      </w:pPr>
      <w:r w:rsidRPr="008615BE">
        <w:t>Généralités</w:t>
      </w:r>
    </w:p>
    <w:p w14:paraId="5611076B" w14:textId="6549E3D1" w:rsidR="002E79B2" w:rsidRDefault="008615BE" w:rsidP="008615BE">
      <w:pPr>
        <w:pStyle w:val="ListParagraph"/>
        <w:numPr>
          <w:ilvl w:val="0"/>
          <w:numId w:val="16"/>
        </w:numPr>
        <w:spacing w:before="240"/>
        <w:contextualSpacing w:val="0"/>
        <w:rPr>
          <w:rFonts w:cs="Arial"/>
          <w:szCs w:val="24"/>
        </w:rPr>
      </w:pPr>
      <w:r w:rsidRPr="002E79B2">
        <w:rPr>
          <w:rFonts w:cs="Arial"/>
          <w:szCs w:val="24"/>
        </w:rPr>
        <w:t xml:space="preserve">Présenter à l’ASFC, sur demande, les marchandises </w:t>
      </w:r>
      <w:r w:rsidR="005C15B5">
        <w:rPr>
          <w:rFonts w:cs="Arial"/>
          <w:szCs w:val="24"/>
        </w:rPr>
        <w:t>pour un examen physique</w:t>
      </w:r>
      <w:r w:rsidRPr="002E79B2">
        <w:rPr>
          <w:rFonts w:cs="Arial"/>
          <w:szCs w:val="24"/>
        </w:rPr>
        <w:t>.</w:t>
      </w:r>
    </w:p>
    <w:p w14:paraId="1C249EFD"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S’occuper des marchandises perdues, trouvées ou endommagées et signaler ces irrégularités au transporteur.</w:t>
      </w:r>
    </w:p>
    <w:p w14:paraId="5E4A5583" w14:textId="5EB5B173" w:rsidR="002E79B2" w:rsidRDefault="008615BE" w:rsidP="008615BE">
      <w:pPr>
        <w:pStyle w:val="ListParagraph"/>
        <w:numPr>
          <w:ilvl w:val="0"/>
          <w:numId w:val="16"/>
        </w:numPr>
        <w:spacing w:before="240"/>
        <w:contextualSpacing w:val="0"/>
        <w:rPr>
          <w:rFonts w:cs="Arial"/>
          <w:szCs w:val="24"/>
        </w:rPr>
      </w:pPr>
      <w:r w:rsidRPr="002E79B2">
        <w:rPr>
          <w:rFonts w:cs="Arial"/>
          <w:szCs w:val="24"/>
        </w:rPr>
        <w:t xml:space="preserve">Aviser le transporteur des plaintes et des </w:t>
      </w:r>
      <w:r w:rsidR="005C15B5">
        <w:rPr>
          <w:rFonts w:cs="Arial"/>
          <w:szCs w:val="24"/>
        </w:rPr>
        <w:t>demandes</w:t>
      </w:r>
      <w:r w:rsidRPr="002E79B2">
        <w:rPr>
          <w:rFonts w:cs="Arial"/>
          <w:szCs w:val="24"/>
        </w:rPr>
        <w:t xml:space="preserve"> formulées par ses clients.</w:t>
      </w:r>
    </w:p>
    <w:p w14:paraId="1BE7FE08" w14:textId="1954DEC2" w:rsidR="002E79B2" w:rsidRPr="002E79B2" w:rsidRDefault="002E79B2" w:rsidP="002E79B2">
      <w:pPr>
        <w:pStyle w:val="Heading4"/>
      </w:pPr>
      <w:r w:rsidRPr="008615BE">
        <w:lastRenderedPageBreak/>
        <w:t>Transporteur aérien seulement</w:t>
      </w:r>
    </w:p>
    <w:p w14:paraId="7A65FAD3" w14:textId="77777777" w:rsidR="002E79B2" w:rsidRDefault="008615BE" w:rsidP="008615BE">
      <w:pPr>
        <w:pStyle w:val="ListParagraph"/>
        <w:numPr>
          <w:ilvl w:val="0"/>
          <w:numId w:val="16"/>
        </w:numPr>
        <w:spacing w:before="240"/>
        <w:contextualSpacing w:val="0"/>
        <w:rPr>
          <w:rFonts w:cs="Arial"/>
          <w:szCs w:val="24"/>
        </w:rPr>
      </w:pPr>
      <w:r w:rsidRPr="002E79B2">
        <w:rPr>
          <w:rFonts w:cs="Arial"/>
          <w:szCs w:val="24"/>
        </w:rPr>
        <w:t>Le manutentionnaire de fret s’occupe de la transmission et de la livraison des documents entre l’aéronef et les divers bâtiments de l’aéroport.</w:t>
      </w:r>
    </w:p>
    <w:p w14:paraId="2F1BFC4B" w14:textId="5BF3750A" w:rsidR="002E79B2" w:rsidRPr="002E79B2" w:rsidRDefault="008615BE" w:rsidP="008615BE">
      <w:pPr>
        <w:pStyle w:val="ListParagraph"/>
        <w:numPr>
          <w:ilvl w:val="0"/>
          <w:numId w:val="16"/>
        </w:numPr>
        <w:spacing w:before="240"/>
        <w:contextualSpacing w:val="0"/>
        <w:rPr>
          <w:rFonts w:cs="Arial"/>
          <w:szCs w:val="24"/>
        </w:rPr>
      </w:pPr>
      <w:r w:rsidRPr="002E79B2">
        <w:rPr>
          <w:rFonts w:cs="Arial"/>
          <w:szCs w:val="24"/>
        </w:rPr>
        <w:t>Au besoin, le manutentionnaire de fret s’occupe du transport des employés de l’ASFC entre l’entrepôt ou l’aéronef et la piste.</w:t>
      </w:r>
      <w:bookmarkStart w:id="144" w:name="_References_[mandatory]"/>
      <w:bookmarkEnd w:id="144"/>
    </w:p>
    <w:p w14:paraId="6E39FAB7" w14:textId="6A9D4990" w:rsidR="008615BE" w:rsidRPr="008615BE" w:rsidRDefault="008615BE" w:rsidP="002E79B2">
      <w:pPr>
        <w:pStyle w:val="Heading2"/>
      </w:pPr>
      <w:bookmarkStart w:id="145" w:name="_Références"/>
      <w:bookmarkEnd w:id="145"/>
      <w:r w:rsidRPr="008615BE">
        <w:t xml:space="preserve">Références </w:t>
      </w:r>
    </w:p>
    <w:p w14:paraId="415443C7" w14:textId="77777777" w:rsidR="008615BE" w:rsidRDefault="008615BE" w:rsidP="008615BE">
      <w:pPr>
        <w:spacing w:line="345" w:lineRule="exact"/>
        <w:rPr>
          <w:rFonts w:ascii="Arial" w:hAnsi="Arial" w:cs="Arial"/>
          <w:sz w:val="24"/>
          <w:szCs w:val="24"/>
          <w:lang w:val="fr-CA"/>
        </w:rPr>
      </w:pPr>
      <w:r w:rsidRPr="008615BE">
        <w:rPr>
          <w:rFonts w:ascii="Arial" w:hAnsi="Arial" w:cs="Arial"/>
          <w:sz w:val="24"/>
          <w:szCs w:val="24"/>
          <w:lang w:val="fr-CA"/>
        </w:rPr>
        <w:t>Consultez ces ressources pour obtenir de plus amples renseignements.</w:t>
      </w:r>
    </w:p>
    <w:p w14:paraId="79E87F96" w14:textId="7B657186" w:rsidR="002E79B2" w:rsidRPr="002E79B2" w:rsidRDefault="002E79B2" w:rsidP="002E79B2">
      <w:pPr>
        <w:pStyle w:val="Heading3"/>
      </w:pPr>
      <w:bookmarkStart w:id="146" w:name="_Législation_applicable"/>
      <w:bookmarkStart w:id="147" w:name="_Lois_applicables"/>
      <w:bookmarkEnd w:id="146"/>
      <w:bookmarkEnd w:id="147"/>
      <w:r w:rsidRPr="002E79B2">
        <w:t>L</w:t>
      </w:r>
      <w:r w:rsidR="00C86331">
        <w:t>ois</w:t>
      </w:r>
      <w:r w:rsidRPr="002E79B2">
        <w:t xml:space="preserve"> applicable</w:t>
      </w:r>
      <w:r w:rsidR="00C86331">
        <w:t>s</w:t>
      </w:r>
      <w:r w:rsidRPr="002E79B2">
        <w:t xml:space="preserve"> </w:t>
      </w:r>
    </w:p>
    <w:p w14:paraId="6773A795" w14:textId="77777777" w:rsidR="002E79B2" w:rsidRPr="00880932" w:rsidRDefault="002E79B2" w:rsidP="002E79B2">
      <w:pPr>
        <w:pStyle w:val="ListParagraph"/>
        <w:numPr>
          <w:ilvl w:val="0"/>
          <w:numId w:val="17"/>
        </w:numPr>
        <w:rPr>
          <w:rFonts w:cs="Arial"/>
          <w:i/>
          <w:iCs/>
          <w:szCs w:val="24"/>
        </w:rPr>
      </w:pPr>
      <w:hyperlink r:id="rId50" w:history="1">
        <w:r w:rsidRPr="00880932">
          <w:rPr>
            <w:rStyle w:val="Hyperlink"/>
            <w:rFonts w:cs="Arial"/>
            <w:i/>
            <w:iCs/>
            <w:szCs w:val="24"/>
          </w:rPr>
          <w:t>Loi sur les douanes</w:t>
        </w:r>
      </w:hyperlink>
    </w:p>
    <w:p w14:paraId="5AF0F657" w14:textId="77777777" w:rsidR="002E79B2" w:rsidRPr="00880932" w:rsidRDefault="002E79B2" w:rsidP="002E79B2">
      <w:pPr>
        <w:pStyle w:val="ListParagraph"/>
        <w:numPr>
          <w:ilvl w:val="0"/>
          <w:numId w:val="17"/>
        </w:numPr>
        <w:rPr>
          <w:rFonts w:cs="Arial"/>
          <w:i/>
          <w:iCs/>
          <w:szCs w:val="24"/>
        </w:rPr>
      </w:pPr>
      <w:hyperlink r:id="rId51" w:history="1">
        <w:r w:rsidRPr="00880932">
          <w:rPr>
            <w:rStyle w:val="Hyperlink"/>
            <w:rFonts w:cs="Arial"/>
            <w:i/>
            <w:iCs/>
            <w:szCs w:val="24"/>
          </w:rPr>
          <w:t>Loi sur les licences d’exportation et d’importation</w:t>
        </w:r>
      </w:hyperlink>
    </w:p>
    <w:p w14:paraId="69274111" w14:textId="77777777" w:rsidR="002E79B2" w:rsidRPr="00880932" w:rsidRDefault="002E79B2" w:rsidP="002E79B2">
      <w:pPr>
        <w:pStyle w:val="ListParagraph"/>
        <w:numPr>
          <w:ilvl w:val="0"/>
          <w:numId w:val="17"/>
        </w:numPr>
        <w:rPr>
          <w:rFonts w:cs="Arial"/>
          <w:i/>
          <w:iCs/>
          <w:szCs w:val="24"/>
        </w:rPr>
      </w:pPr>
      <w:hyperlink r:id="rId52" w:history="1">
        <w:r w:rsidRPr="00880932">
          <w:rPr>
            <w:rStyle w:val="Hyperlink"/>
            <w:rFonts w:cs="Arial"/>
            <w:i/>
            <w:iCs/>
            <w:szCs w:val="24"/>
          </w:rPr>
          <w:t>Loi sur les armes à feu</w:t>
        </w:r>
      </w:hyperlink>
    </w:p>
    <w:p w14:paraId="21F824BC" w14:textId="77777777" w:rsidR="002E79B2" w:rsidRPr="00880932" w:rsidRDefault="002E79B2" w:rsidP="002E79B2">
      <w:pPr>
        <w:pStyle w:val="ListParagraph"/>
        <w:numPr>
          <w:ilvl w:val="0"/>
          <w:numId w:val="17"/>
        </w:numPr>
        <w:rPr>
          <w:rFonts w:cs="Arial"/>
          <w:i/>
          <w:iCs/>
          <w:szCs w:val="24"/>
        </w:rPr>
      </w:pPr>
      <w:hyperlink r:id="rId53" w:history="1">
        <w:r w:rsidRPr="00880932">
          <w:rPr>
            <w:rStyle w:val="Hyperlink"/>
            <w:rFonts w:cs="Arial"/>
            <w:i/>
            <w:iCs/>
            <w:szCs w:val="24"/>
          </w:rPr>
          <w:t>Code criminel</w:t>
        </w:r>
      </w:hyperlink>
    </w:p>
    <w:p w14:paraId="47A607EE" w14:textId="77777777" w:rsidR="002E79B2" w:rsidRPr="00880932" w:rsidRDefault="002E79B2" w:rsidP="002E79B2">
      <w:pPr>
        <w:pStyle w:val="ListParagraph"/>
        <w:numPr>
          <w:ilvl w:val="0"/>
          <w:numId w:val="17"/>
        </w:numPr>
        <w:rPr>
          <w:rFonts w:cs="Arial"/>
          <w:i/>
          <w:iCs/>
          <w:szCs w:val="24"/>
        </w:rPr>
      </w:pPr>
      <w:hyperlink r:id="rId54" w:history="1">
        <w:r w:rsidRPr="00880932">
          <w:rPr>
            <w:rStyle w:val="Hyperlink"/>
            <w:rFonts w:cs="Arial"/>
            <w:i/>
            <w:iCs/>
            <w:szCs w:val="24"/>
          </w:rPr>
          <w:t>Tarif des douanes</w:t>
        </w:r>
      </w:hyperlink>
    </w:p>
    <w:p w14:paraId="478B01D0" w14:textId="77777777" w:rsidR="002E79B2" w:rsidRPr="00880932" w:rsidRDefault="002E79B2" w:rsidP="002E79B2">
      <w:pPr>
        <w:pStyle w:val="ListParagraph"/>
        <w:numPr>
          <w:ilvl w:val="0"/>
          <w:numId w:val="17"/>
        </w:numPr>
        <w:rPr>
          <w:rFonts w:cs="Arial"/>
          <w:i/>
          <w:iCs/>
          <w:szCs w:val="24"/>
        </w:rPr>
      </w:pPr>
      <w:hyperlink r:id="rId55" w:history="1">
        <w:r w:rsidRPr="00880932">
          <w:rPr>
            <w:rStyle w:val="Hyperlink"/>
            <w:rFonts w:cs="Arial"/>
            <w:i/>
            <w:iCs/>
            <w:szCs w:val="24"/>
          </w:rPr>
          <w:t>Loi de 2001 sur l’accise</w:t>
        </w:r>
      </w:hyperlink>
    </w:p>
    <w:p w14:paraId="3AD165EC" w14:textId="77777777" w:rsidR="002E79B2" w:rsidRPr="00880932" w:rsidRDefault="002E79B2" w:rsidP="002E79B2">
      <w:pPr>
        <w:pStyle w:val="ListParagraph"/>
        <w:numPr>
          <w:ilvl w:val="0"/>
          <w:numId w:val="17"/>
        </w:numPr>
        <w:rPr>
          <w:rFonts w:cs="Arial"/>
          <w:i/>
          <w:iCs/>
          <w:szCs w:val="24"/>
        </w:rPr>
      </w:pPr>
      <w:hyperlink r:id="rId56" w:history="1">
        <w:r w:rsidRPr="00880932">
          <w:rPr>
            <w:rStyle w:val="Hyperlink"/>
            <w:rFonts w:cs="Arial"/>
            <w:i/>
            <w:iCs/>
            <w:szCs w:val="24"/>
          </w:rPr>
          <w:t>Loi sur la sûreté et la réglementation nucléaires</w:t>
        </w:r>
      </w:hyperlink>
    </w:p>
    <w:p w14:paraId="0E3FF504" w14:textId="77777777" w:rsidR="002E79B2" w:rsidRPr="00880932" w:rsidRDefault="002E79B2" w:rsidP="002E79B2">
      <w:pPr>
        <w:pStyle w:val="ListParagraph"/>
        <w:numPr>
          <w:ilvl w:val="0"/>
          <w:numId w:val="17"/>
        </w:numPr>
        <w:rPr>
          <w:rFonts w:cs="Arial"/>
          <w:i/>
          <w:iCs/>
          <w:szCs w:val="24"/>
        </w:rPr>
      </w:pPr>
      <w:hyperlink r:id="rId57" w:history="1">
        <w:r w:rsidRPr="00880932">
          <w:rPr>
            <w:rStyle w:val="Hyperlink"/>
            <w:rFonts w:cs="Arial"/>
            <w:i/>
            <w:iCs/>
            <w:szCs w:val="24"/>
          </w:rPr>
          <w:t>Règlement général sur la sûreté et la réglementation nucléaires</w:t>
        </w:r>
      </w:hyperlink>
      <w:r w:rsidRPr="00880932">
        <w:rPr>
          <w:rFonts w:cs="Arial"/>
          <w:i/>
          <w:iCs/>
          <w:szCs w:val="24"/>
        </w:rPr>
        <w:t xml:space="preserve"> </w:t>
      </w:r>
    </w:p>
    <w:p w14:paraId="46A74B9B" w14:textId="77777777" w:rsidR="002E79B2" w:rsidRPr="00880932" w:rsidRDefault="002E79B2" w:rsidP="002E79B2">
      <w:pPr>
        <w:pStyle w:val="ListParagraph"/>
        <w:numPr>
          <w:ilvl w:val="0"/>
          <w:numId w:val="17"/>
        </w:numPr>
        <w:rPr>
          <w:rFonts w:cs="Arial"/>
          <w:i/>
          <w:iCs/>
          <w:szCs w:val="24"/>
        </w:rPr>
      </w:pPr>
      <w:hyperlink r:id="rId58" w:history="1">
        <w:r w:rsidRPr="00880932">
          <w:rPr>
            <w:rStyle w:val="Hyperlink"/>
            <w:rFonts w:cs="Arial"/>
            <w:i/>
            <w:iCs/>
            <w:szCs w:val="24"/>
          </w:rPr>
          <w:t>Règlement sur les entrepôts d’attente des douanes</w:t>
        </w:r>
      </w:hyperlink>
    </w:p>
    <w:p w14:paraId="1B0C5925" w14:textId="77777777" w:rsidR="002E79B2" w:rsidRPr="00880932" w:rsidRDefault="002E79B2" w:rsidP="002E79B2">
      <w:pPr>
        <w:pStyle w:val="ListParagraph"/>
        <w:numPr>
          <w:ilvl w:val="0"/>
          <w:numId w:val="17"/>
        </w:numPr>
        <w:rPr>
          <w:rFonts w:cs="Arial"/>
          <w:i/>
          <w:iCs/>
          <w:szCs w:val="24"/>
        </w:rPr>
      </w:pPr>
      <w:hyperlink r:id="rId59" w:history="1">
        <w:r w:rsidRPr="00880932">
          <w:rPr>
            <w:rStyle w:val="Hyperlink"/>
            <w:rFonts w:cs="Arial"/>
            <w:i/>
            <w:iCs/>
            <w:szCs w:val="24"/>
          </w:rPr>
          <w:t>Règlement sur l’entreposage des marchandises</w:t>
        </w:r>
      </w:hyperlink>
    </w:p>
    <w:p w14:paraId="43C4A021" w14:textId="77777777" w:rsidR="002E79B2" w:rsidRPr="00880932" w:rsidRDefault="002E79B2" w:rsidP="002E79B2">
      <w:pPr>
        <w:pStyle w:val="ListParagraph"/>
        <w:numPr>
          <w:ilvl w:val="0"/>
          <w:numId w:val="17"/>
        </w:numPr>
        <w:rPr>
          <w:rFonts w:cs="Arial"/>
          <w:i/>
          <w:iCs/>
          <w:szCs w:val="24"/>
        </w:rPr>
      </w:pPr>
      <w:hyperlink r:id="rId60" w:history="1">
        <w:r w:rsidRPr="00880932">
          <w:rPr>
            <w:rStyle w:val="Hyperlink"/>
            <w:rFonts w:cs="Arial"/>
            <w:i/>
            <w:iCs/>
            <w:szCs w:val="24"/>
          </w:rPr>
          <w:t>Règlement sur l’entreposage, l’exposition et le transport des armes à feu et autres armes par des entreprises</w:t>
        </w:r>
      </w:hyperlink>
    </w:p>
    <w:p w14:paraId="693FFAF6" w14:textId="77777777" w:rsidR="002E79B2" w:rsidRPr="00880932" w:rsidRDefault="002E79B2" w:rsidP="002E79B2">
      <w:pPr>
        <w:pStyle w:val="ListParagraph"/>
        <w:numPr>
          <w:ilvl w:val="0"/>
          <w:numId w:val="17"/>
        </w:numPr>
        <w:rPr>
          <w:rFonts w:cs="Arial"/>
          <w:i/>
          <w:iCs/>
          <w:szCs w:val="24"/>
        </w:rPr>
      </w:pPr>
      <w:hyperlink r:id="rId61" w:history="1">
        <w:r w:rsidRPr="00880932">
          <w:rPr>
            <w:rStyle w:val="Hyperlink"/>
            <w:rFonts w:cs="Arial"/>
            <w:i/>
            <w:iCs/>
            <w:szCs w:val="24"/>
          </w:rPr>
          <w:t>Règlement sur les documents relatifs à l’importation de marchandises</w:t>
        </w:r>
      </w:hyperlink>
    </w:p>
    <w:p w14:paraId="568B9B90" w14:textId="77777777" w:rsidR="002E79B2" w:rsidRPr="00880932" w:rsidRDefault="002E79B2" w:rsidP="002E79B2">
      <w:pPr>
        <w:pStyle w:val="ListParagraph"/>
        <w:numPr>
          <w:ilvl w:val="0"/>
          <w:numId w:val="17"/>
        </w:numPr>
        <w:rPr>
          <w:rFonts w:cs="Arial"/>
          <w:i/>
          <w:iCs/>
          <w:szCs w:val="24"/>
        </w:rPr>
      </w:pPr>
      <w:hyperlink r:id="rId62" w:history="1">
        <w:r w:rsidRPr="00880932">
          <w:rPr>
            <w:rStyle w:val="Hyperlink"/>
            <w:rFonts w:cs="Arial"/>
            <w:i/>
            <w:iCs/>
            <w:szCs w:val="24"/>
          </w:rPr>
          <w:t>Règlement sur le transit des marchandises</w:t>
        </w:r>
      </w:hyperlink>
    </w:p>
    <w:p w14:paraId="44DBC83E" w14:textId="5713F58F" w:rsidR="002E79B2" w:rsidRPr="00880932" w:rsidRDefault="002E79B2" w:rsidP="002E79B2">
      <w:pPr>
        <w:pStyle w:val="ListParagraph"/>
        <w:numPr>
          <w:ilvl w:val="0"/>
          <w:numId w:val="17"/>
        </w:numPr>
        <w:rPr>
          <w:rFonts w:cs="Arial"/>
          <w:i/>
          <w:iCs/>
          <w:szCs w:val="24"/>
        </w:rPr>
      </w:pPr>
      <w:hyperlink r:id="rId63" w:history="1">
        <w:r w:rsidRPr="00880932">
          <w:rPr>
            <w:rStyle w:val="Hyperlink"/>
            <w:rFonts w:cs="Arial"/>
            <w:i/>
            <w:iCs/>
            <w:szCs w:val="24"/>
          </w:rPr>
          <w:t>Règlement sur les garanties financières (moyens électroniques)</w:t>
        </w:r>
      </w:hyperlink>
    </w:p>
    <w:p w14:paraId="22A784C1" w14:textId="7DC11F55" w:rsidR="002E79B2" w:rsidRDefault="002E79B2" w:rsidP="002E79B2">
      <w:pPr>
        <w:pStyle w:val="Heading3"/>
      </w:pPr>
      <w:bookmarkStart w:id="148" w:name="_Mémorandum_applicable"/>
      <w:bookmarkEnd w:id="148"/>
      <w:r>
        <w:t xml:space="preserve">Mémorandum </w:t>
      </w:r>
      <w:r w:rsidR="00C86331">
        <w:t>connexes</w:t>
      </w:r>
    </w:p>
    <w:p w14:paraId="689181D1" w14:textId="285C5CE5" w:rsidR="002E79B2" w:rsidRPr="002D2362" w:rsidRDefault="002E79B2" w:rsidP="002E79B2">
      <w:pPr>
        <w:pStyle w:val="ListParagraph"/>
        <w:numPr>
          <w:ilvl w:val="0"/>
          <w:numId w:val="18"/>
        </w:numPr>
        <w:rPr>
          <w:rFonts w:cs="Arial"/>
          <w:szCs w:val="24"/>
        </w:rPr>
      </w:pPr>
      <w:hyperlink r:id="rId64" w:history="1">
        <w:r w:rsidRPr="002D2362">
          <w:rPr>
            <w:rStyle w:val="Hyperlink"/>
            <w:rFonts w:cs="Arial"/>
            <w:szCs w:val="24"/>
          </w:rPr>
          <w:t>Mémorandum D1-7-1</w:t>
        </w:r>
        <w:r w:rsidR="002D2362" w:rsidRPr="002D2362">
          <w:rPr>
            <w:rStyle w:val="Hyperlink"/>
            <w:rFonts w:cs="Arial"/>
            <w:szCs w:val="24"/>
          </w:rPr>
          <w:t> :</w:t>
        </w:r>
        <w:r w:rsidRPr="002D2362">
          <w:rPr>
            <w:rStyle w:val="Hyperlink"/>
            <w:rFonts w:cs="Arial"/>
            <w:szCs w:val="24"/>
          </w:rPr>
          <w:t xml:space="preserve"> </w:t>
        </w:r>
        <w:r w:rsidRPr="00880932">
          <w:rPr>
            <w:rStyle w:val="Hyperlink"/>
            <w:rFonts w:cs="Arial"/>
            <w:szCs w:val="24"/>
          </w:rPr>
          <w:t>Dépôt de garantie pour effectuer des transactions en douane</w:t>
        </w:r>
      </w:hyperlink>
      <w:r w:rsidRPr="002D2362">
        <w:rPr>
          <w:rFonts w:cs="Arial"/>
          <w:szCs w:val="24"/>
        </w:rPr>
        <w:t xml:space="preserve"> </w:t>
      </w:r>
    </w:p>
    <w:p w14:paraId="312E2F0E" w14:textId="7A64760F" w:rsidR="002E79B2" w:rsidRPr="002D2362" w:rsidRDefault="002E79B2" w:rsidP="002E79B2">
      <w:pPr>
        <w:pStyle w:val="ListParagraph"/>
        <w:numPr>
          <w:ilvl w:val="0"/>
          <w:numId w:val="18"/>
        </w:numPr>
        <w:rPr>
          <w:rFonts w:cs="Arial"/>
          <w:szCs w:val="24"/>
        </w:rPr>
      </w:pPr>
      <w:hyperlink r:id="rId65" w:history="1">
        <w:r w:rsidRPr="002D2362">
          <w:rPr>
            <w:rStyle w:val="Hyperlink"/>
            <w:rFonts w:cs="Arial"/>
            <w:szCs w:val="24"/>
          </w:rPr>
          <w:t>Mémorandum D1-2-1</w:t>
        </w:r>
        <w:r w:rsidR="002D2362" w:rsidRPr="002D2362">
          <w:rPr>
            <w:rStyle w:val="Hyperlink"/>
            <w:rFonts w:cs="Arial"/>
            <w:szCs w:val="24"/>
          </w:rPr>
          <w:t> :</w:t>
        </w:r>
        <w:r w:rsidRPr="002D2362">
          <w:rPr>
            <w:rStyle w:val="Hyperlink"/>
            <w:rFonts w:cs="Arial"/>
            <w:szCs w:val="24"/>
          </w:rPr>
          <w:t xml:space="preserve"> </w:t>
        </w:r>
        <w:r w:rsidRPr="00880932">
          <w:rPr>
            <w:rStyle w:val="Hyperlink"/>
            <w:rFonts w:cs="Arial"/>
            <w:szCs w:val="24"/>
          </w:rPr>
          <w:t>Services spéciaux</w:t>
        </w:r>
      </w:hyperlink>
    </w:p>
    <w:p w14:paraId="6C3B80E4" w14:textId="7B12187A" w:rsidR="002E79B2" w:rsidRPr="00CA2D6B" w:rsidRDefault="00CA2D6B" w:rsidP="002E79B2">
      <w:pPr>
        <w:pStyle w:val="ListParagraph"/>
        <w:numPr>
          <w:ilvl w:val="0"/>
          <w:numId w:val="18"/>
        </w:numPr>
        <w:rPr>
          <w:rStyle w:val="Hyperlink"/>
          <w:rFonts w:cs="Arial"/>
          <w:szCs w:val="24"/>
        </w:rPr>
      </w:pPr>
      <w:r>
        <w:lastRenderedPageBreak/>
        <w:fldChar w:fldCharType="begin"/>
      </w:r>
      <w:r>
        <w:instrText>HYPERLINK "https://www.cbsa-asfc.gc.ca/publications/dm-md/d3/d3-3-1-fra.html"</w:instrText>
      </w:r>
      <w:r>
        <w:fldChar w:fldCharType="separate"/>
      </w:r>
      <w:r w:rsidR="002D2362" w:rsidRPr="00CA2D6B">
        <w:rPr>
          <w:rStyle w:val="Hyperlink"/>
        </w:rPr>
        <w:t xml:space="preserve">Mémorandum </w:t>
      </w:r>
      <w:r w:rsidR="002E79B2" w:rsidRPr="00CA2D6B">
        <w:rPr>
          <w:rStyle w:val="Hyperlink"/>
          <w:rFonts w:cs="Arial"/>
          <w:szCs w:val="24"/>
        </w:rPr>
        <w:t>D3-3-1</w:t>
      </w:r>
      <w:r w:rsidR="002D2362" w:rsidRPr="00CA2D6B">
        <w:rPr>
          <w:rStyle w:val="Hyperlink"/>
          <w:rFonts w:cs="Arial"/>
          <w:szCs w:val="24"/>
        </w:rPr>
        <w:t> :</w:t>
      </w:r>
      <w:r w:rsidR="002E79B2" w:rsidRPr="00CA2D6B">
        <w:rPr>
          <w:rStyle w:val="Hyperlink"/>
          <w:rFonts w:cs="Arial"/>
          <w:szCs w:val="24"/>
        </w:rPr>
        <w:t xml:space="preserve"> </w:t>
      </w:r>
      <w:r w:rsidR="002E79B2" w:rsidRPr="00880932">
        <w:rPr>
          <w:rStyle w:val="Hyperlink"/>
          <w:rFonts w:cs="Arial"/>
          <w:szCs w:val="24"/>
        </w:rPr>
        <w:t>Exigences relatives à la transmission des données préalables à l’arrivée et à la déclaration pour les agents d’expédition</w:t>
      </w:r>
    </w:p>
    <w:p w14:paraId="70C46F84" w14:textId="00420A6B" w:rsidR="002E79B2" w:rsidRPr="002D2362" w:rsidRDefault="00CA2D6B" w:rsidP="002E79B2">
      <w:pPr>
        <w:pStyle w:val="ListParagraph"/>
        <w:numPr>
          <w:ilvl w:val="0"/>
          <w:numId w:val="18"/>
        </w:numPr>
        <w:rPr>
          <w:rFonts w:cs="Arial"/>
          <w:szCs w:val="24"/>
        </w:rPr>
      </w:pPr>
      <w:r>
        <w:fldChar w:fldCharType="end"/>
      </w:r>
      <w:hyperlink r:id="rId66" w:history="1">
        <w:r w:rsidR="002E79B2" w:rsidRPr="002D2362">
          <w:rPr>
            <w:rStyle w:val="Hyperlink"/>
            <w:rFonts w:cs="Arial"/>
            <w:szCs w:val="24"/>
          </w:rPr>
          <w:t>Mémorandum D3-1-1</w:t>
        </w:r>
        <w:r w:rsidR="002D2362" w:rsidRPr="002D2362">
          <w:rPr>
            <w:rStyle w:val="Hyperlink"/>
            <w:rFonts w:cs="Arial"/>
            <w:szCs w:val="24"/>
          </w:rPr>
          <w:t> :</w:t>
        </w:r>
        <w:r w:rsidR="002E79B2" w:rsidRPr="002D2362">
          <w:rPr>
            <w:rStyle w:val="Hyperlink"/>
            <w:rFonts w:cs="Arial"/>
            <w:szCs w:val="24"/>
          </w:rPr>
          <w:t xml:space="preserve"> </w:t>
        </w:r>
        <w:r w:rsidR="002E79B2" w:rsidRPr="00880932">
          <w:rPr>
            <w:rStyle w:val="Hyperlink"/>
            <w:rFonts w:cs="Arial"/>
            <w:szCs w:val="24"/>
          </w:rPr>
          <w:t>Politique relative à l’importation et au transport des marchandises</w:t>
        </w:r>
      </w:hyperlink>
    </w:p>
    <w:p w14:paraId="3AF71C34" w14:textId="74DBF13E" w:rsidR="002E79B2" w:rsidRPr="002D2362" w:rsidRDefault="002E79B2" w:rsidP="002E79B2">
      <w:pPr>
        <w:pStyle w:val="ListParagraph"/>
        <w:numPr>
          <w:ilvl w:val="0"/>
          <w:numId w:val="18"/>
        </w:numPr>
        <w:rPr>
          <w:rFonts w:cs="Arial"/>
          <w:szCs w:val="24"/>
        </w:rPr>
      </w:pPr>
      <w:hyperlink r:id="rId67" w:history="1">
        <w:r w:rsidRPr="002D2362">
          <w:rPr>
            <w:rStyle w:val="Hyperlink"/>
            <w:rFonts w:cs="Arial"/>
            <w:szCs w:val="24"/>
          </w:rPr>
          <w:t>Mémorandum D17-1-21</w:t>
        </w:r>
        <w:r w:rsidR="002D2362" w:rsidRPr="002D2362">
          <w:rPr>
            <w:rStyle w:val="Hyperlink"/>
            <w:rFonts w:cs="Arial"/>
            <w:szCs w:val="24"/>
          </w:rPr>
          <w:t> :</w:t>
        </w:r>
        <w:r w:rsidRPr="002D2362">
          <w:rPr>
            <w:rStyle w:val="Hyperlink"/>
            <w:rFonts w:cs="Arial"/>
            <w:szCs w:val="24"/>
          </w:rPr>
          <w:t xml:space="preserve"> </w:t>
        </w:r>
        <w:r w:rsidRPr="00880932">
          <w:rPr>
            <w:rStyle w:val="Hyperlink"/>
            <w:rFonts w:cs="Arial"/>
            <w:szCs w:val="24"/>
          </w:rPr>
          <w:t>Conservation des documents au Canada par les importateurs</w:t>
        </w:r>
      </w:hyperlink>
      <w:r w:rsidRPr="002D2362">
        <w:rPr>
          <w:rFonts w:cs="Arial"/>
          <w:szCs w:val="24"/>
        </w:rPr>
        <w:t xml:space="preserve"> </w:t>
      </w:r>
    </w:p>
    <w:p w14:paraId="3501DD78" w14:textId="30D817F5" w:rsidR="002E79B2" w:rsidRPr="002D2362" w:rsidRDefault="002E79B2" w:rsidP="002E79B2">
      <w:pPr>
        <w:pStyle w:val="ListParagraph"/>
        <w:numPr>
          <w:ilvl w:val="0"/>
          <w:numId w:val="18"/>
        </w:numPr>
        <w:rPr>
          <w:rFonts w:cs="Arial"/>
          <w:szCs w:val="24"/>
          <w:u w:val="single"/>
        </w:rPr>
      </w:pPr>
      <w:hyperlink r:id="rId68" w:history="1">
        <w:r w:rsidRPr="002D2362">
          <w:rPr>
            <w:rStyle w:val="Hyperlink"/>
            <w:rFonts w:cs="Arial"/>
            <w:szCs w:val="24"/>
          </w:rPr>
          <w:t>Mémorandum D19-13-2</w:t>
        </w:r>
        <w:r w:rsidR="002D2362" w:rsidRPr="002D2362">
          <w:rPr>
            <w:rStyle w:val="Hyperlink"/>
            <w:rFonts w:cs="Arial"/>
            <w:szCs w:val="24"/>
          </w:rPr>
          <w:t> :</w:t>
        </w:r>
        <w:r w:rsidRPr="002D2362">
          <w:rPr>
            <w:rStyle w:val="Hyperlink"/>
            <w:rFonts w:cs="Arial"/>
            <w:szCs w:val="24"/>
          </w:rPr>
          <w:t xml:space="preserve"> </w:t>
        </w:r>
        <w:r w:rsidRPr="00880932">
          <w:rPr>
            <w:rStyle w:val="Hyperlink"/>
            <w:rFonts w:cs="Arial"/>
            <w:szCs w:val="24"/>
          </w:rPr>
          <w:t>Importation et exportation d’armes à feu, d’armes et de dispositifs</w:t>
        </w:r>
      </w:hyperlink>
      <w:r w:rsidRPr="002D2362">
        <w:rPr>
          <w:rFonts w:cs="Arial"/>
          <w:szCs w:val="24"/>
          <w:u w:val="single"/>
        </w:rPr>
        <w:t xml:space="preserve"> </w:t>
      </w:r>
    </w:p>
    <w:p w14:paraId="239A119F" w14:textId="3FF1C13F" w:rsidR="002E79B2" w:rsidRPr="00880932" w:rsidRDefault="002E79B2" w:rsidP="002E79B2">
      <w:pPr>
        <w:pStyle w:val="ListParagraph"/>
        <w:numPr>
          <w:ilvl w:val="0"/>
          <w:numId w:val="18"/>
        </w:numPr>
        <w:rPr>
          <w:rFonts w:cs="Arial"/>
          <w:szCs w:val="24"/>
          <w:u w:val="single"/>
        </w:rPr>
      </w:pPr>
      <w:hyperlink r:id="rId69" w:history="1">
        <w:r w:rsidRPr="002D2362">
          <w:rPr>
            <w:rStyle w:val="Hyperlink"/>
            <w:rFonts w:cs="Arial"/>
            <w:szCs w:val="24"/>
          </w:rPr>
          <w:t>Mémorandum D4-1-5</w:t>
        </w:r>
        <w:r w:rsidR="002D2362" w:rsidRPr="002D2362">
          <w:rPr>
            <w:rStyle w:val="Hyperlink"/>
            <w:rFonts w:cs="Arial"/>
            <w:szCs w:val="24"/>
          </w:rPr>
          <w:t> :</w:t>
        </w:r>
        <w:r w:rsidRPr="002D2362">
          <w:rPr>
            <w:rStyle w:val="Hyperlink"/>
            <w:rFonts w:cs="Arial"/>
            <w:szCs w:val="24"/>
          </w:rPr>
          <w:t xml:space="preserve"> </w:t>
        </w:r>
        <w:r w:rsidRPr="00880932">
          <w:rPr>
            <w:rStyle w:val="Hyperlink"/>
            <w:rFonts w:cs="Arial"/>
            <w:szCs w:val="24"/>
          </w:rPr>
          <w:t>Entreposage des marchandises</w:t>
        </w:r>
      </w:hyperlink>
    </w:p>
    <w:p w14:paraId="68A2D01C" w14:textId="6D1BE59F" w:rsidR="002E79B2" w:rsidRPr="00880932" w:rsidRDefault="002E79B2" w:rsidP="002E79B2">
      <w:pPr>
        <w:pStyle w:val="ListParagraph"/>
        <w:numPr>
          <w:ilvl w:val="0"/>
          <w:numId w:val="18"/>
        </w:numPr>
        <w:rPr>
          <w:rFonts w:cs="Arial"/>
          <w:szCs w:val="24"/>
          <w:u w:val="single"/>
        </w:rPr>
      </w:pPr>
      <w:hyperlink r:id="rId70" w:history="1">
        <w:r w:rsidRPr="002D2362">
          <w:rPr>
            <w:rStyle w:val="Hyperlink"/>
            <w:rFonts w:cs="Arial"/>
            <w:szCs w:val="24"/>
          </w:rPr>
          <w:t>Mémorandum D4-1-7</w:t>
        </w:r>
        <w:r w:rsidR="002D2362" w:rsidRPr="002D2362">
          <w:rPr>
            <w:rStyle w:val="Hyperlink"/>
            <w:rFonts w:cs="Arial"/>
            <w:szCs w:val="24"/>
          </w:rPr>
          <w:t xml:space="preserve"> : </w:t>
        </w:r>
        <w:r w:rsidRPr="00880932">
          <w:rPr>
            <w:rStyle w:val="Hyperlink"/>
            <w:rFonts w:cs="Arial"/>
            <w:szCs w:val="24"/>
          </w:rPr>
          <w:t>Prorogation des délais pour l’entreposage des marchandises</w:t>
        </w:r>
      </w:hyperlink>
    </w:p>
    <w:p w14:paraId="4916A9B9" w14:textId="71237563" w:rsidR="002E79B2" w:rsidRPr="002D2362" w:rsidRDefault="002E79B2" w:rsidP="002E79B2">
      <w:pPr>
        <w:pStyle w:val="ListParagraph"/>
        <w:numPr>
          <w:ilvl w:val="0"/>
          <w:numId w:val="18"/>
        </w:numPr>
        <w:rPr>
          <w:rFonts w:cs="Arial"/>
          <w:szCs w:val="24"/>
        </w:rPr>
      </w:pPr>
      <w:hyperlink r:id="rId71" w:anchor="a25" w:history="1">
        <w:r w:rsidRPr="002D2362">
          <w:rPr>
            <w:rStyle w:val="Hyperlink"/>
            <w:rFonts w:cs="Arial"/>
            <w:szCs w:val="24"/>
          </w:rPr>
          <w:t>Mémorandum D3-5-1</w:t>
        </w:r>
        <w:r w:rsidR="002D2362" w:rsidRPr="002D2362">
          <w:rPr>
            <w:rStyle w:val="Hyperlink"/>
            <w:rFonts w:cs="Arial"/>
            <w:szCs w:val="24"/>
          </w:rPr>
          <w:t> :</w:t>
        </w:r>
        <w:r w:rsidRPr="002D2362">
          <w:rPr>
            <w:rStyle w:val="Hyperlink"/>
            <w:rFonts w:cs="Arial"/>
            <w:szCs w:val="24"/>
          </w:rPr>
          <w:t xml:space="preserve"> </w:t>
        </w:r>
        <w:r w:rsidRPr="00880932">
          <w:rPr>
            <w:rStyle w:val="Hyperlink"/>
            <w:rFonts w:cs="Arial"/>
            <w:szCs w:val="24"/>
          </w:rPr>
          <w:t>Exigences relatives à la transmission des données préalables au chargement à l’arrivée et à la déclaration dans le mode maritime</w:t>
        </w:r>
      </w:hyperlink>
    </w:p>
    <w:p w14:paraId="0579F919" w14:textId="785B3C1D" w:rsidR="002E79B2" w:rsidRPr="002D2362" w:rsidRDefault="002E79B2" w:rsidP="002E79B2">
      <w:pPr>
        <w:pStyle w:val="ListParagraph"/>
        <w:numPr>
          <w:ilvl w:val="0"/>
          <w:numId w:val="18"/>
        </w:numPr>
        <w:rPr>
          <w:rFonts w:cs="Arial"/>
          <w:szCs w:val="24"/>
          <w:u w:val="single"/>
        </w:rPr>
      </w:pPr>
      <w:hyperlink r:id="rId72" w:history="1">
        <w:r w:rsidRPr="002D2362">
          <w:rPr>
            <w:rStyle w:val="Hyperlink"/>
            <w:rFonts w:cs="Arial"/>
            <w:szCs w:val="24"/>
          </w:rPr>
          <w:t>Mémorandum D23-2-1</w:t>
        </w:r>
        <w:r w:rsidR="002D2362" w:rsidRPr="002D2362">
          <w:rPr>
            <w:rStyle w:val="Hyperlink"/>
            <w:rFonts w:cs="Arial"/>
            <w:szCs w:val="24"/>
          </w:rPr>
          <w:t> :</w:t>
        </w:r>
        <w:r w:rsidRPr="002D2362">
          <w:rPr>
            <w:rStyle w:val="Hyperlink"/>
            <w:rFonts w:cs="Arial"/>
            <w:szCs w:val="24"/>
          </w:rPr>
          <w:t xml:space="preserve"> </w:t>
        </w:r>
        <w:r w:rsidRPr="00880932">
          <w:rPr>
            <w:rStyle w:val="Hyperlink"/>
            <w:rFonts w:cs="Arial"/>
            <w:szCs w:val="24"/>
          </w:rPr>
          <w:t>Programme d’autocotisation des douanes pour les transporteurs</w:t>
        </w:r>
      </w:hyperlink>
    </w:p>
    <w:p w14:paraId="3355F439" w14:textId="5F1E2D21" w:rsidR="002E79B2" w:rsidRPr="002D2362" w:rsidRDefault="002E79B2" w:rsidP="002E79B2">
      <w:pPr>
        <w:pStyle w:val="ListParagraph"/>
        <w:numPr>
          <w:ilvl w:val="0"/>
          <w:numId w:val="18"/>
        </w:numPr>
        <w:rPr>
          <w:rFonts w:cs="Arial"/>
          <w:szCs w:val="24"/>
          <w:u w:val="single"/>
        </w:rPr>
      </w:pPr>
      <w:hyperlink r:id="rId73" w:history="1">
        <w:r w:rsidRPr="002D2362">
          <w:rPr>
            <w:rStyle w:val="Hyperlink"/>
            <w:rFonts w:cs="Arial"/>
            <w:szCs w:val="24"/>
          </w:rPr>
          <w:t>Mémorandum D22-1-1</w:t>
        </w:r>
        <w:r w:rsidR="002D2362" w:rsidRPr="002D2362">
          <w:rPr>
            <w:rStyle w:val="Hyperlink"/>
            <w:rFonts w:cs="Arial"/>
            <w:szCs w:val="24"/>
          </w:rPr>
          <w:t xml:space="preserve"> : </w:t>
        </w:r>
        <w:r w:rsidRPr="00880932">
          <w:rPr>
            <w:rStyle w:val="Hyperlink"/>
            <w:rFonts w:cs="Arial"/>
            <w:szCs w:val="24"/>
          </w:rPr>
          <w:t>Régime de sanctions administratives pécuniaires</w:t>
        </w:r>
      </w:hyperlink>
    </w:p>
    <w:p w14:paraId="27E74C4F" w14:textId="77777777" w:rsidR="002E79B2" w:rsidRPr="008615BE" w:rsidRDefault="002E79B2" w:rsidP="002E79B2">
      <w:pPr>
        <w:pStyle w:val="Heading3"/>
      </w:pPr>
      <w:bookmarkStart w:id="149" w:name="_Mémorandum_D_précédent"/>
      <w:bookmarkEnd w:id="149"/>
      <w:r w:rsidRPr="008615BE">
        <w:t xml:space="preserve">Mémorandum D précédent </w:t>
      </w:r>
    </w:p>
    <w:p w14:paraId="6F6736A8" w14:textId="7AB38315" w:rsidR="002E79B2" w:rsidRPr="002E79B2" w:rsidRDefault="002E79B2" w:rsidP="002E79B2">
      <w:pPr>
        <w:pStyle w:val="ListParagraph"/>
        <w:numPr>
          <w:ilvl w:val="0"/>
          <w:numId w:val="19"/>
        </w:numPr>
        <w:rPr>
          <w:rFonts w:cs="Arial"/>
          <w:szCs w:val="24"/>
        </w:rPr>
      </w:pPr>
      <w:hyperlink r:id="rId74" w:history="1">
        <w:r w:rsidRPr="002E79B2">
          <w:rPr>
            <w:rStyle w:val="Hyperlink"/>
            <w:rFonts w:cs="Arial"/>
            <w:szCs w:val="24"/>
          </w:rPr>
          <w:t xml:space="preserve">Mémorandum D4-1-4 : Entrepôts d’attente des douanes, 21 </w:t>
        </w:r>
        <w:r>
          <w:rPr>
            <w:rStyle w:val="Hyperlink"/>
            <w:rFonts w:cs="Arial"/>
            <w:szCs w:val="24"/>
          </w:rPr>
          <w:t>octobre</w:t>
        </w:r>
        <w:r w:rsidRPr="002E79B2">
          <w:rPr>
            <w:rStyle w:val="Hyperlink"/>
            <w:rFonts w:cs="Arial"/>
            <w:szCs w:val="24"/>
          </w:rPr>
          <w:t> 2021</w:t>
        </w:r>
      </w:hyperlink>
    </w:p>
    <w:p w14:paraId="133B8681" w14:textId="77777777" w:rsidR="002E79B2" w:rsidRPr="008615BE" w:rsidRDefault="002E79B2" w:rsidP="002E79B2">
      <w:pPr>
        <w:pStyle w:val="Heading3"/>
      </w:pPr>
      <w:bookmarkStart w:id="150" w:name="_Bureau_de_diffusion"/>
      <w:bookmarkEnd w:id="150"/>
      <w:r w:rsidRPr="008615BE">
        <w:t xml:space="preserve">Bureau de diffusion </w:t>
      </w:r>
    </w:p>
    <w:p w14:paraId="7F4A1A73" w14:textId="77777777" w:rsidR="00F96912" w:rsidRDefault="002E79B2" w:rsidP="00845D0D">
      <w:pPr>
        <w:spacing w:after="0" w:line="345" w:lineRule="exact"/>
        <w:rPr>
          <w:rFonts w:ascii="Arial" w:hAnsi="Arial" w:cs="Arial"/>
          <w:sz w:val="24"/>
          <w:szCs w:val="24"/>
          <w:lang w:val="fr-CA"/>
        </w:rPr>
      </w:pPr>
      <w:r w:rsidRPr="008615BE">
        <w:rPr>
          <w:rFonts w:ascii="Arial" w:hAnsi="Arial" w:cs="Arial"/>
          <w:sz w:val="24"/>
          <w:szCs w:val="24"/>
          <w:lang w:val="fr-CA"/>
        </w:rPr>
        <w:t>Division des programmes commerciaux réglementaires</w:t>
      </w:r>
    </w:p>
    <w:p w14:paraId="6BFB417E" w14:textId="0B32DC9F" w:rsidR="004B12D4" w:rsidRDefault="004B12D4" w:rsidP="00845D0D">
      <w:pPr>
        <w:spacing w:after="0" w:line="345" w:lineRule="exact"/>
        <w:rPr>
          <w:rFonts w:ascii="Arial" w:hAnsi="Arial" w:cs="Arial"/>
          <w:sz w:val="24"/>
          <w:szCs w:val="24"/>
          <w:lang w:val="fr-CA"/>
        </w:rPr>
      </w:pPr>
      <w:r w:rsidRPr="004B12D4">
        <w:rPr>
          <w:rFonts w:ascii="Arial" w:hAnsi="Arial" w:cs="Arial"/>
          <w:sz w:val="24"/>
          <w:szCs w:val="24"/>
          <w:lang w:val="fr-CA"/>
        </w:rPr>
        <w:t>Direction des programmes liés aux échanges commerciaux</w:t>
      </w:r>
    </w:p>
    <w:p w14:paraId="6DA3AF38" w14:textId="394675DC" w:rsidR="002E79B2" w:rsidRPr="008615BE" w:rsidRDefault="002E79B2" w:rsidP="002E79B2">
      <w:pPr>
        <w:spacing w:line="345" w:lineRule="exact"/>
        <w:rPr>
          <w:rFonts w:ascii="Arial" w:hAnsi="Arial" w:cs="Arial"/>
          <w:sz w:val="24"/>
          <w:szCs w:val="24"/>
          <w:lang w:val="fr-CA"/>
        </w:rPr>
      </w:pPr>
      <w:r w:rsidRPr="008615BE">
        <w:rPr>
          <w:rFonts w:ascii="Arial" w:hAnsi="Arial" w:cs="Arial"/>
          <w:sz w:val="24"/>
          <w:szCs w:val="24"/>
          <w:lang w:val="fr-CA"/>
        </w:rPr>
        <w:t>Direction générale du secteur commercial et des échanges commerciaux</w:t>
      </w:r>
    </w:p>
    <w:p w14:paraId="3B85E590" w14:textId="77777777" w:rsidR="002E79B2" w:rsidRPr="008615BE" w:rsidRDefault="002E79B2" w:rsidP="002E79B2">
      <w:pPr>
        <w:pStyle w:val="Heading2"/>
      </w:pPr>
      <w:bookmarkStart w:id="151" w:name="_Contact_information"/>
      <w:bookmarkStart w:id="152" w:name="_Communiquer_avec_nous"/>
      <w:bookmarkEnd w:id="151"/>
      <w:bookmarkEnd w:id="152"/>
      <w:r w:rsidRPr="008615BE">
        <w:t>Communiquer avec nous</w:t>
      </w:r>
    </w:p>
    <w:p w14:paraId="1AC4A6A6" w14:textId="4FDD1E9C" w:rsidR="002E79B2" w:rsidRPr="008615BE" w:rsidRDefault="002E79B2" w:rsidP="002E79B2">
      <w:pPr>
        <w:spacing w:line="345" w:lineRule="exact"/>
        <w:rPr>
          <w:rFonts w:ascii="Arial" w:hAnsi="Arial" w:cs="Arial"/>
          <w:sz w:val="24"/>
          <w:szCs w:val="24"/>
          <w:lang w:val="fr-CA"/>
        </w:rPr>
      </w:pPr>
      <w:r w:rsidRPr="008615BE">
        <w:rPr>
          <w:rFonts w:ascii="Arial" w:hAnsi="Arial" w:cs="Arial"/>
          <w:sz w:val="24"/>
          <w:szCs w:val="24"/>
          <w:lang w:val="fr-CA"/>
        </w:rPr>
        <w:t>Pour obtenir de plus amples renseignements, au Canada, communique</w:t>
      </w:r>
      <w:r w:rsidR="007F607B">
        <w:rPr>
          <w:rFonts w:ascii="Arial" w:hAnsi="Arial" w:cs="Arial"/>
          <w:sz w:val="24"/>
          <w:szCs w:val="24"/>
          <w:lang w:val="fr-CA"/>
        </w:rPr>
        <w:t>r</w:t>
      </w:r>
      <w:r w:rsidRPr="008615BE">
        <w:rPr>
          <w:rFonts w:ascii="Arial" w:hAnsi="Arial" w:cs="Arial"/>
          <w:sz w:val="24"/>
          <w:szCs w:val="24"/>
          <w:lang w:val="fr-CA"/>
        </w:rPr>
        <w:t xml:space="preserve"> avec le Service d’information sur la frontière au 1-800-461-9999. De l’extérieur du Canada, </w:t>
      </w:r>
      <w:r w:rsidR="007F607B">
        <w:rPr>
          <w:rFonts w:ascii="Arial" w:hAnsi="Arial" w:cs="Arial"/>
          <w:sz w:val="24"/>
          <w:szCs w:val="24"/>
          <w:lang w:val="fr-CA"/>
        </w:rPr>
        <w:t xml:space="preserve">composer le </w:t>
      </w:r>
      <w:r w:rsidRPr="008615BE">
        <w:rPr>
          <w:rFonts w:ascii="Arial" w:hAnsi="Arial" w:cs="Arial"/>
          <w:sz w:val="24"/>
          <w:szCs w:val="24"/>
          <w:lang w:val="fr-CA"/>
        </w:rPr>
        <w:t xml:space="preserve">204-983-3500 ou </w:t>
      </w:r>
      <w:r w:rsidR="007F607B">
        <w:rPr>
          <w:rFonts w:ascii="Arial" w:hAnsi="Arial" w:cs="Arial"/>
          <w:sz w:val="24"/>
          <w:szCs w:val="24"/>
          <w:lang w:val="fr-CA"/>
        </w:rPr>
        <w:t>le</w:t>
      </w:r>
      <w:r w:rsidRPr="008615BE">
        <w:rPr>
          <w:rFonts w:ascii="Arial" w:hAnsi="Arial" w:cs="Arial"/>
          <w:sz w:val="24"/>
          <w:szCs w:val="24"/>
          <w:lang w:val="fr-CA"/>
        </w:rPr>
        <w:t xml:space="preserve"> 506-636-5064. Des frais d’interurbain s’appliquent. Des agents sont disponibles du lundi au vendredi (de 8</w:t>
      </w:r>
      <w:r w:rsidR="00900CA9">
        <w:rPr>
          <w:rFonts w:ascii="Arial" w:hAnsi="Arial" w:cs="Arial"/>
          <w:sz w:val="24"/>
          <w:szCs w:val="24"/>
          <w:lang w:val="fr-CA"/>
        </w:rPr>
        <w:t> </w:t>
      </w:r>
      <w:r w:rsidRPr="008615BE">
        <w:rPr>
          <w:rFonts w:ascii="Arial" w:hAnsi="Arial" w:cs="Arial"/>
          <w:sz w:val="24"/>
          <w:szCs w:val="24"/>
          <w:lang w:val="fr-CA"/>
        </w:rPr>
        <w:t>h à 16</w:t>
      </w:r>
      <w:r w:rsidR="00900CA9">
        <w:rPr>
          <w:rFonts w:ascii="Arial" w:hAnsi="Arial" w:cs="Arial"/>
          <w:sz w:val="24"/>
          <w:szCs w:val="24"/>
          <w:lang w:val="fr-CA"/>
        </w:rPr>
        <w:t> </w:t>
      </w:r>
      <w:r w:rsidRPr="008615BE">
        <w:rPr>
          <w:rFonts w:ascii="Arial" w:hAnsi="Arial" w:cs="Arial"/>
          <w:sz w:val="24"/>
          <w:szCs w:val="24"/>
          <w:lang w:val="fr-CA"/>
        </w:rPr>
        <w:t>h, heure locale), sauf les jours fériés. Le téléscripteur est aussi disponible au Canada : 1-866-335-3237</w:t>
      </w:r>
    </w:p>
    <w:p w14:paraId="0539DFE9" w14:textId="2C7D20B7" w:rsidR="002E79B2" w:rsidRDefault="002E79B2" w:rsidP="002E79B2">
      <w:pPr>
        <w:spacing w:line="345" w:lineRule="exact"/>
        <w:rPr>
          <w:rFonts w:ascii="Arial" w:hAnsi="Arial" w:cs="Arial"/>
          <w:sz w:val="24"/>
          <w:szCs w:val="24"/>
          <w:lang w:val="fr-CA"/>
        </w:rPr>
      </w:pPr>
      <w:r w:rsidRPr="008615BE">
        <w:rPr>
          <w:rFonts w:ascii="Arial" w:hAnsi="Arial" w:cs="Arial"/>
          <w:sz w:val="24"/>
          <w:szCs w:val="24"/>
          <w:lang w:val="fr-CA"/>
        </w:rPr>
        <w:lastRenderedPageBreak/>
        <w:t xml:space="preserve">Les demandes de renseignements peuvent être faites en ligne à l’aide du </w:t>
      </w:r>
      <w:hyperlink r:id="rId75" w:history="1">
        <w:r w:rsidR="00852AA4">
          <w:rPr>
            <w:rStyle w:val="Hyperlink"/>
            <w:rFonts w:ascii="Arial" w:hAnsi="Arial" w:cs="Arial"/>
            <w:sz w:val="24"/>
            <w:szCs w:val="24"/>
            <w:lang w:val="fr-CA"/>
          </w:rPr>
          <w:t>formulaire de soutien aux clients</w:t>
        </w:r>
      </w:hyperlink>
      <w:r w:rsidRPr="008615BE">
        <w:rPr>
          <w:rFonts w:ascii="Arial" w:hAnsi="Arial" w:cs="Arial"/>
          <w:sz w:val="24"/>
          <w:szCs w:val="24"/>
          <w:lang w:val="fr-CA"/>
        </w:rPr>
        <w:t>.</w:t>
      </w:r>
    </w:p>
    <w:p w14:paraId="1B3FCBB6" w14:textId="575CC640" w:rsidR="0031194B" w:rsidRDefault="0031194B" w:rsidP="0031194B">
      <w:pPr>
        <w:pStyle w:val="Heading2"/>
      </w:pPr>
      <w:bookmarkStart w:id="153" w:name="_Liens_applicable"/>
      <w:bookmarkEnd w:id="153"/>
      <w:r>
        <w:t xml:space="preserve">Liens </w:t>
      </w:r>
      <w:r w:rsidR="00C86331">
        <w:t>connexes</w:t>
      </w:r>
    </w:p>
    <w:p w14:paraId="4DA3F518" w14:textId="780D4534" w:rsidR="0031194B" w:rsidRPr="0052625E" w:rsidRDefault="0052625E" w:rsidP="0031194B">
      <w:pPr>
        <w:pStyle w:val="ListParagraph"/>
        <w:numPr>
          <w:ilvl w:val="0"/>
          <w:numId w:val="19"/>
        </w:numPr>
        <w:rPr>
          <w:rFonts w:cs="Arial"/>
          <w:szCs w:val="24"/>
        </w:rPr>
      </w:pPr>
      <w:hyperlink r:id="rId76" w:history="1">
        <w:r w:rsidRPr="001F1E2D">
          <w:rPr>
            <w:rStyle w:val="Hyperlink"/>
            <w:rFonts w:cs="Arial"/>
            <w:szCs w:val="24"/>
          </w:rPr>
          <w:t>Formulaire d’inscription d’un entrepôt d’attente des douanes – BSF897</w:t>
        </w:r>
      </w:hyperlink>
    </w:p>
    <w:p w14:paraId="6E14C19C" w14:textId="1744E40E" w:rsidR="0052625E" w:rsidRPr="0052625E" w:rsidRDefault="0052625E" w:rsidP="0031194B">
      <w:pPr>
        <w:pStyle w:val="ListParagraph"/>
        <w:numPr>
          <w:ilvl w:val="0"/>
          <w:numId w:val="19"/>
        </w:numPr>
        <w:rPr>
          <w:rFonts w:cs="Arial"/>
          <w:szCs w:val="24"/>
        </w:rPr>
      </w:pPr>
      <w:hyperlink r:id="rId77" w:history="1">
        <w:r w:rsidRPr="0052625E">
          <w:rPr>
            <w:rStyle w:val="Hyperlink"/>
            <w:rFonts w:cs="Arial"/>
            <w:szCs w:val="24"/>
          </w:rPr>
          <w:t xml:space="preserve">Page </w:t>
        </w:r>
        <w:r w:rsidR="00A47FAE">
          <w:rPr>
            <w:rStyle w:val="Hyperlink"/>
            <w:rFonts w:cs="Arial"/>
            <w:szCs w:val="24"/>
          </w:rPr>
          <w:t>W</w:t>
        </w:r>
        <w:r w:rsidRPr="0052625E">
          <w:rPr>
            <w:rStyle w:val="Hyperlink"/>
            <w:rFonts w:cs="Arial"/>
            <w:szCs w:val="24"/>
          </w:rPr>
          <w:t xml:space="preserve">eb de </w:t>
        </w:r>
        <w:r w:rsidR="00A47FAE">
          <w:rPr>
            <w:rStyle w:val="Hyperlink"/>
            <w:rFonts w:cs="Arial"/>
            <w:szCs w:val="24"/>
          </w:rPr>
          <w:t xml:space="preserve">la </w:t>
        </w:r>
        <w:r w:rsidRPr="0052625E">
          <w:rPr>
            <w:rStyle w:val="Hyperlink"/>
            <w:rFonts w:cs="Arial"/>
            <w:szCs w:val="24"/>
          </w:rPr>
          <w:t>GCRA</w:t>
        </w:r>
      </w:hyperlink>
      <w:r w:rsidRPr="0052625E">
        <w:rPr>
          <w:rFonts w:cs="Arial"/>
          <w:szCs w:val="24"/>
        </w:rPr>
        <w:t xml:space="preserve"> </w:t>
      </w:r>
    </w:p>
    <w:p w14:paraId="1BA3AAA4" w14:textId="48EDB46B" w:rsidR="0052625E" w:rsidRPr="0052625E" w:rsidRDefault="0052625E" w:rsidP="0052625E">
      <w:pPr>
        <w:pStyle w:val="ListParagraph"/>
        <w:numPr>
          <w:ilvl w:val="0"/>
          <w:numId w:val="19"/>
        </w:numPr>
        <w:rPr>
          <w:rStyle w:val="Hyperlink"/>
          <w:rFonts w:cs="Arial"/>
          <w:szCs w:val="24"/>
        </w:rPr>
      </w:pPr>
      <w:hyperlink r:id="rId78" w:history="1">
        <w:r w:rsidRPr="0052625E">
          <w:rPr>
            <w:rStyle w:val="Hyperlink"/>
            <w:rFonts w:cs="Arial"/>
            <w:szCs w:val="24"/>
          </w:rPr>
          <w:t>Formulaire A8A, Document de contrôle du fret</w:t>
        </w:r>
      </w:hyperlink>
    </w:p>
    <w:p w14:paraId="6DC402C7" w14:textId="70C79F50" w:rsidR="0052625E" w:rsidRPr="0052625E" w:rsidRDefault="0052625E" w:rsidP="0052625E">
      <w:pPr>
        <w:pStyle w:val="ListParagraph"/>
        <w:numPr>
          <w:ilvl w:val="0"/>
          <w:numId w:val="19"/>
        </w:numPr>
        <w:rPr>
          <w:rStyle w:val="Hyperlink"/>
          <w:rFonts w:cs="Arial"/>
          <w:szCs w:val="24"/>
        </w:rPr>
      </w:pPr>
      <w:hyperlink r:id="rId79" w:history="1">
        <w:r w:rsidR="00CB7F63">
          <w:rPr>
            <w:rStyle w:val="Hyperlink"/>
            <w:rFonts w:cs="Arial"/>
            <w:szCs w:val="24"/>
          </w:rPr>
          <w:t xml:space="preserve">Document sur les exigences à l’égard des clients du commerce électronique, chapitre 11, Information préalable sur les expéditions commerciales (IPEC) préalable (ACI)/avis du Manifeste électronique </w:t>
        </w:r>
        <w:r w:rsidR="00E57297">
          <w:rPr>
            <w:rStyle w:val="Hyperlink"/>
            <w:rFonts w:cs="Arial"/>
            <w:szCs w:val="24"/>
          </w:rPr>
          <w:t>-</w:t>
        </w:r>
        <w:r w:rsidR="00CB7F63">
          <w:rPr>
            <w:rStyle w:val="Hyperlink"/>
            <w:rFonts w:cs="Arial"/>
            <w:szCs w:val="24"/>
          </w:rPr>
          <w:t xml:space="preserve"> Avis</w:t>
        </w:r>
      </w:hyperlink>
      <w:r w:rsidRPr="0052625E">
        <w:rPr>
          <w:rStyle w:val="Hyperlink"/>
          <w:rFonts w:cs="Arial"/>
          <w:szCs w:val="24"/>
        </w:rPr>
        <w:t xml:space="preserve"> </w:t>
      </w:r>
    </w:p>
    <w:p w14:paraId="156FD91F" w14:textId="3537A9B6" w:rsidR="0052625E" w:rsidRPr="0052625E" w:rsidRDefault="0052625E" w:rsidP="0052625E">
      <w:pPr>
        <w:pStyle w:val="ListParagraph"/>
        <w:numPr>
          <w:ilvl w:val="0"/>
          <w:numId w:val="19"/>
        </w:numPr>
        <w:rPr>
          <w:rStyle w:val="Hyperlink"/>
          <w:rFonts w:cs="Arial"/>
          <w:szCs w:val="24"/>
        </w:rPr>
      </w:pPr>
      <w:hyperlink r:id="rId80" w:history="1">
        <w:r w:rsidRPr="0052625E">
          <w:rPr>
            <w:rStyle w:val="Hyperlink"/>
            <w:rFonts w:cs="Arial"/>
            <w:szCs w:val="24"/>
          </w:rPr>
          <w:t>Formulaires A10, Résumé de contrôle du fret</w:t>
        </w:r>
      </w:hyperlink>
    </w:p>
    <w:p w14:paraId="5FF80BCC" w14:textId="77777777" w:rsidR="0052625E" w:rsidRPr="0052625E" w:rsidRDefault="0052625E" w:rsidP="0052625E">
      <w:pPr>
        <w:pStyle w:val="ListParagraph"/>
        <w:numPr>
          <w:ilvl w:val="0"/>
          <w:numId w:val="19"/>
        </w:numPr>
        <w:rPr>
          <w:rStyle w:val="Hyperlink"/>
          <w:rFonts w:cs="Arial"/>
          <w:szCs w:val="24"/>
        </w:rPr>
      </w:pPr>
      <w:hyperlink r:id="rId81" w:history="1">
        <w:r w:rsidRPr="0052625E">
          <w:rPr>
            <w:rStyle w:val="Hyperlink"/>
            <w:rFonts w:cs="Arial"/>
            <w:szCs w:val="24"/>
          </w:rPr>
          <w:t>Document-maître des infractions</w:t>
        </w:r>
      </w:hyperlink>
    </w:p>
    <w:p w14:paraId="2198CEBA" w14:textId="6651ECEF" w:rsidR="008615BE" w:rsidRPr="00894152" w:rsidRDefault="0052625E" w:rsidP="008615BE">
      <w:pPr>
        <w:pStyle w:val="ListParagraph"/>
        <w:numPr>
          <w:ilvl w:val="0"/>
          <w:numId w:val="19"/>
        </w:numPr>
        <w:rPr>
          <w:rFonts w:cs="Arial"/>
          <w:szCs w:val="24"/>
        </w:rPr>
      </w:pPr>
      <w:hyperlink r:id="rId82" w:history="1">
        <w:r w:rsidRPr="0052625E">
          <w:rPr>
            <w:rStyle w:val="Hyperlink"/>
            <w:rFonts w:cs="Arial"/>
            <w:szCs w:val="24"/>
          </w:rPr>
          <w:t xml:space="preserve">Page </w:t>
        </w:r>
        <w:r w:rsidR="00CC1BBF">
          <w:rPr>
            <w:rStyle w:val="Hyperlink"/>
            <w:rFonts w:cs="Arial"/>
            <w:szCs w:val="24"/>
          </w:rPr>
          <w:t>W</w:t>
        </w:r>
        <w:r w:rsidRPr="0052625E">
          <w:rPr>
            <w:rStyle w:val="Hyperlink"/>
            <w:rFonts w:cs="Arial"/>
            <w:szCs w:val="24"/>
          </w:rPr>
          <w:t>eb d</w:t>
        </w:r>
        <w:r w:rsidR="00CC1BBF">
          <w:rPr>
            <w:rStyle w:val="Hyperlink"/>
            <w:rFonts w:cs="Arial"/>
            <w:szCs w:val="24"/>
          </w:rPr>
          <w:t>e la</w:t>
        </w:r>
        <w:r w:rsidRPr="0052625E">
          <w:rPr>
            <w:rStyle w:val="Hyperlink"/>
            <w:rFonts w:cs="Arial"/>
            <w:szCs w:val="24"/>
          </w:rPr>
          <w:t xml:space="preserve"> Gendarmerie royale du Canada</w:t>
        </w:r>
      </w:hyperlink>
    </w:p>
    <w:sectPr w:rsidR="008615BE" w:rsidRPr="00894152" w:rsidSect="008615BE">
      <w:headerReference w:type="even" r:id="rId83"/>
      <w:headerReference w:type="default" r:id="rId84"/>
      <w:footerReference w:type="even" r:id="rId85"/>
      <w:footerReference w:type="default" r:id="rId86"/>
      <w:headerReference w:type="first" r:id="rId87"/>
      <w:footerReference w:type="first" r:id="rId88"/>
      <w:pgSz w:w="12240" w:h="15840"/>
      <w:pgMar w:top="1858" w:right="1440" w:bottom="1858" w:left="1530"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A24F" w14:textId="77777777" w:rsidR="00865967" w:rsidRDefault="00865967" w:rsidP="00AE4B45">
      <w:pPr>
        <w:spacing w:after="0" w:line="240" w:lineRule="auto"/>
      </w:pPr>
      <w:r>
        <w:separator/>
      </w:r>
    </w:p>
  </w:endnote>
  <w:endnote w:type="continuationSeparator" w:id="0">
    <w:p w14:paraId="220D83BF" w14:textId="77777777" w:rsidR="00865967" w:rsidRDefault="00865967" w:rsidP="00AE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6392" w14:textId="77777777" w:rsidR="00545D51" w:rsidRDefault="00545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95184"/>
      <w:docPartObj>
        <w:docPartGallery w:val="Page Numbers (Bottom of Page)"/>
        <w:docPartUnique/>
      </w:docPartObj>
    </w:sdtPr>
    <w:sdtEndPr>
      <w:rPr>
        <w:rFonts w:ascii="Arial" w:hAnsi="Arial" w:cs="Arial"/>
        <w:noProof/>
      </w:rPr>
    </w:sdtEndPr>
    <w:sdtContent>
      <w:p w14:paraId="1E855E21" w14:textId="77777777" w:rsidR="007113BF" w:rsidRPr="00AE4B45" w:rsidRDefault="007113BF">
        <w:pPr>
          <w:pStyle w:val="Footer"/>
          <w:jc w:val="right"/>
          <w:rPr>
            <w:rFonts w:ascii="Arial" w:hAnsi="Arial" w:cs="Arial"/>
          </w:rPr>
        </w:pPr>
        <w:r w:rsidRPr="00AE4B45">
          <w:rPr>
            <w:rFonts w:ascii="Arial" w:hAnsi="Arial" w:cs="Arial"/>
          </w:rPr>
          <w:fldChar w:fldCharType="begin"/>
        </w:r>
        <w:r w:rsidRPr="00AE4B45">
          <w:rPr>
            <w:rFonts w:ascii="Arial" w:hAnsi="Arial" w:cs="Arial"/>
          </w:rPr>
          <w:instrText xml:space="preserve"> PAGE   \* MERGEFORMAT </w:instrText>
        </w:r>
        <w:r w:rsidRPr="00AE4B45">
          <w:rPr>
            <w:rFonts w:ascii="Arial" w:hAnsi="Arial" w:cs="Arial"/>
          </w:rPr>
          <w:fldChar w:fldCharType="separate"/>
        </w:r>
        <w:r w:rsidRPr="00AE4B45">
          <w:rPr>
            <w:rFonts w:ascii="Arial" w:hAnsi="Arial" w:cs="Arial"/>
            <w:noProof/>
          </w:rPr>
          <w:t>30</w:t>
        </w:r>
        <w:r w:rsidRPr="00AE4B45">
          <w:rPr>
            <w:rFonts w:ascii="Arial" w:hAnsi="Arial" w:cs="Arial"/>
          </w:rPr>
          <w:fldChar w:fldCharType="end"/>
        </w:r>
      </w:p>
    </w:sdtContent>
  </w:sdt>
  <w:p w14:paraId="7D78ED41" w14:textId="77777777" w:rsidR="007113BF" w:rsidRPr="006E0AD7" w:rsidRDefault="007113BF">
    <w:pPr>
      <w:pStyle w:val="Footer"/>
      <w:rPr>
        <w:sz w:val="16"/>
      </w:rPr>
    </w:pPr>
  </w:p>
  <w:p w14:paraId="2332CB94" w14:textId="77777777" w:rsidR="007113BF" w:rsidRDefault="007113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E52E" w14:textId="77777777" w:rsidR="007113BF" w:rsidRDefault="007113BF" w:rsidP="00321765">
    <w:pPr>
      <w:pStyle w:val="Footer"/>
    </w:pPr>
    <w:r>
      <w:rPr>
        <w:noProof/>
        <w:lang w:val="en-CA" w:eastAsia="en-CA"/>
      </w:rPr>
      <w:drawing>
        <wp:inline distT="0" distB="0" distL="0" distR="0" wp14:anchorId="4ECBB93D" wp14:editId="788E3D1D">
          <wp:extent cx="1078992" cy="274320"/>
          <wp:effectExtent l="0" t="0" r="6985" b="0"/>
          <wp:docPr id="12" name="Picture 12" descr="G:\CD-DC\ISCD-DCSI\MCS (under construction)\C&amp;Tech Services\Corporate_Identity\Corporate ID current (2013 )\CorporateTemplates\Letterhead\Lower resolution\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D-DC\ISCD-DCSI\MCS (under construction)\C&amp;Tech Services\Corporate_Identity\Corporate ID current (2013 )\CorporateTemplates\Letterhead\Lower resolution\wordmar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992" cy="2743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94F2" w14:textId="77777777" w:rsidR="00865967" w:rsidRDefault="00865967" w:rsidP="00AE4B45">
      <w:pPr>
        <w:spacing w:after="0" w:line="240" w:lineRule="auto"/>
      </w:pPr>
      <w:r>
        <w:separator/>
      </w:r>
    </w:p>
  </w:footnote>
  <w:footnote w:type="continuationSeparator" w:id="0">
    <w:p w14:paraId="1F55D220" w14:textId="77777777" w:rsidR="00865967" w:rsidRDefault="00865967" w:rsidP="00AE4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5AEB" w14:textId="77777777" w:rsidR="007113BF" w:rsidRDefault="007113BF" w:rsidP="009008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5491E9" w14:textId="77777777" w:rsidR="007113BF" w:rsidRDefault="007113BF">
    <w:pPr>
      <w:pStyle w:val="Header"/>
    </w:pPr>
  </w:p>
  <w:p w14:paraId="446E5563" w14:textId="77777777" w:rsidR="007113BF" w:rsidRDefault="007113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526C" w14:textId="77777777" w:rsidR="007113BF" w:rsidRDefault="007113BF" w:rsidP="00D562B0">
    <w:pPr>
      <w:pStyle w:val="Header"/>
      <w:jc w:val="center"/>
    </w:pPr>
  </w:p>
  <w:p w14:paraId="18A2C524" w14:textId="77777777" w:rsidR="007113BF" w:rsidRDefault="007113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583E" w14:textId="77777777" w:rsidR="007113BF" w:rsidRPr="008E1F06" w:rsidRDefault="007113BF" w:rsidP="006E2B1A">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E87"/>
    <w:multiLevelType w:val="hybridMultilevel"/>
    <w:tmpl w:val="573AAE62"/>
    <w:lvl w:ilvl="0" w:tplc="37C6109C">
      <w:start w:val="1"/>
      <w:numFmt w:val="decimal"/>
      <w:suff w:val="space"/>
      <w:lvlText w:val="%1."/>
      <w:lvlJc w:val="left"/>
      <w:pPr>
        <w:ind w:left="0" w:firstLine="0"/>
      </w:pPr>
      <w:rPr>
        <w:rFonts w:ascii="Arial" w:hAnsi="Arial" w:hint="default"/>
        <w:sz w:val="24"/>
      </w:rPr>
    </w:lvl>
    <w:lvl w:ilvl="1" w:tplc="B2A28398">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887E21"/>
    <w:multiLevelType w:val="hybridMultilevel"/>
    <w:tmpl w:val="13A06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A7351E"/>
    <w:multiLevelType w:val="hybridMultilevel"/>
    <w:tmpl w:val="38D0D894"/>
    <w:lvl w:ilvl="0" w:tplc="FFFFFFFF">
      <w:start w:val="1"/>
      <w:numFmt w:val="decimal"/>
      <w:suff w:val="space"/>
      <w:lvlText w:val="%1."/>
      <w:lvlJc w:val="left"/>
      <w:pPr>
        <w:ind w:left="0" w:firstLine="0"/>
      </w:pPr>
      <w:rPr>
        <w:rFonts w:ascii="Arial" w:hAnsi="Arial" w:hint="default"/>
        <w:sz w:val="24"/>
      </w:rPr>
    </w:lvl>
    <w:lvl w:ilvl="1" w:tplc="FFFFFFFF">
      <w:start w:val="1"/>
      <w:numFmt w:val="lowerLetter"/>
      <w:lvlText w:val="(%2)"/>
      <w:lvlJc w:val="left"/>
      <w:pPr>
        <w:ind w:left="1440" w:hanging="360"/>
      </w:pPr>
      <w:rPr>
        <w:rFonts w:hint="default"/>
        <w:i w:val="0"/>
      </w:rPr>
    </w:lvl>
    <w:lvl w:ilvl="2" w:tplc="D4DC9B0A">
      <w:start w:val="1"/>
      <w:numFmt w:val="lowerRoman"/>
      <w:suff w:val="space"/>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60B77"/>
    <w:multiLevelType w:val="hybridMultilevel"/>
    <w:tmpl w:val="77DEEC36"/>
    <w:lvl w:ilvl="0" w:tplc="753AB744">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491D4F"/>
    <w:multiLevelType w:val="hybridMultilevel"/>
    <w:tmpl w:val="2C041372"/>
    <w:lvl w:ilvl="0" w:tplc="37C6109C">
      <w:start w:val="1"/>
      <w:numFmt w:val="decimal"/>
      <w:suff w:val="space"/>
      <w:lvlText w:val="%1."/>
      <w:lvlJc w:val="left"/>
      <w:pPr>
        <w:ind w:left="0" w:firstLine="0"/>
      </w:pPr>
      <w:rPr>
        <w:rFonts w:ascii="Arial" w:hAnsi="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9E349B"/>
    <w:multiLevelType w:val="hybridMultilevel"/>
    <w:tmpl w:val="5F1AC850"/>
    <w:lvl w:ilvl="0" w:tplc="FFFFFFFF">
      <w:start w:val="1"/>
      <w:numFmt w:val="decimal"/>
      <w:suff w:val="space"/>
      <w:lvlText w:val="%1."/>
      <w:lvlJc w:val="left"/>
      <w:pPr>
        <w:ind w:left="0" w:firstLine="0"/>
      </w:pPr>
      <w:rPr>
        <w:rFonts w:ascii="Arial" w:hAnsi="Arial" w:hint="default"/>
        <w:sz w:val="24"/>
      </w:rPr>
    </w:lvl>
    <w:lvl w:ilvl="1" w:tplc="ABC65492">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E85DC8"/>
    <w:multiLevelType w:val="hybridMultilevel"/>
    <w:tmpl w:val="0D6EA4AA"/>
    <w:lvl w:ilvl="0" w:tplc="37C6109C">
      <w:start w:val="1"/>
      <w:numFmt w:val="decimal"/>
      <w:suff w:val="space"/>
      <w:lvlText w:val="%1."/>
      <w:lvlJc w:val="left"/>
      <w:pPr>
        <w:ind w:left="0" w:firstLine="0"/>
      </w:pPr>
      <w:rPr>
        <w:rFonts w:ascii="Arial" w:hAnsi="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8F421AE"/>
    <w:multiLevelType w:val="hybridMultilevel"/>
    <w:tmpl w:val="57E20D2C"/>
    <w:lvl w:ilvl="0" w:tplc="2062A4BE">
      <w:start w:val="1"/>
      <w:numFmt w:val="low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8" w15:restartNumberingAfterBreak="0">
    <w:nsid w:val="466F4706"/>
    <w:multiLevelType w:val="hybridMultilevel"/>
    <w:tmpl w:val="E4A2BE9C"/>
    <w:lvl w:ilvl="0" w:tplc="DA20B1DC">
      <w:start w:val="1"/>
      <w:numFmt w:val="decimal"/>
      <w:lvlText w:val="%1."/>
      <w:lvlJc w:val="left"/>
      <w:pPr>
        <w:ind w:left="720" w:hanging="360"/>
      </w:pPr>
      <w:rPr>
        <w:rFonts w:ascii="Arial" w:hAnsi="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C4821C7"/>
    <w:multiLevelType w:val="hybridMultilevel"/>
    <w:tmpl w:val="76C00E22"/>
    <w:lvl w:ilvl="0" w:tplc="FFFFFFFF">
      <w:start w:val="1"/>
      <w:numFmt w:val="decimal"/>
      <w:suff w:val="space"/>
      <w:lvlText w:val="%1."/>
      <w:lvlJc w:val="left"/>
      <w:pPr>
        <w:ind w:left="0" w:firstLine="0"/>
      </w:pPr>
      <w:rPr>
        <w:rFonts w:ascii="Arial" w:hAnsi="Arial" w:hint="default"/>
        <w:sz w:val="24"/>
      </w:rPr>
    </w:lvl>
    <w:lvl w:ilvl="1" w:tplc="4232C658">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B76324"/>
    <w:multiLevelType w:val="hybridMultilevel"/>
    <w:tmpl w:val="F5242A2E"/>
    <w:lvl w:ilvl="0" w:tplc="8F2CFDA2">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E73BC0"/>
    <w:multiLevelType w:val="hybridMultilevel"/>
    <w:tmpl w:val="4F1A03FE"/>
    <w:lvl w:ilvl="0" w:tplc="04E88DFA">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2" w15:restartNumberingAfterBreak="0">
    <w:nsid w:val="604514F9"/>
    <w:multiLevelType w:val="hybridMultilevel"/>
    <w:tmpl w:val="DA1E2D5A"/>
    <w:lvl w:ilvl="0" w:tplc="4232C658">
      <w:start w:val="1"/>
      <w:numFmt w:val="lowerLetter"/>
      <w:lvlText w:val="(%1)"/>
      <w:lvlJc w:val="left"/>
      <w:pPr>
        <w:ind w:left="1440" w:hanging="360"/>
      </w:pPr>
      <w:rPr>
        <w:rFonts w:hint="default"/>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632A1E3D"/>
    <w:multiLevelType w:val="hybridMultilevel"/>
    <w:tmpl w:val="CFA233EA"/>
    <w:lvl w:ilvl="0" w:tplc="FFFFFFFF">
      <w:start w:val="1"/>
      <w:numFmt w:val="decimal"/>
      <w:suff w:val="space"/>
      <w:lvlText w:val="%1."/>
      <w:lvlJc w:val="left"/>
      <w:pPr>
        <w:ind w:left="0" w:firstLine="0"/>
      </w:pPr>
      <w:rPr>
        <w:rFonts w:ascii="Arial" w:hAnsi="Arial" w:hint="default"/>
        <w:sz w:val="24"/>
      </w:rPr>
    </w:lvl>
    <w:lvl w:ilvl="1" w:tplc="FFFFFFFF">
      <w:start w:val="1"/>
      <w:numFmt w:val="lowerLetter"/>
      <w:lvlText w:val="(%2)"/>
      <w:lvlJc w:val="left"/>
      <w:pPr>
        <w:ind w:left="1440" w:hanging="360"/>
      </w:pPr>
      <w:rPr>
        <w:rFonts w:hint="default"/>
        <w:i w:val="0"/>
      </w:rPr>
    </w:lvl>
    <w:lvl w:ilvl="2" w:tplc="0D96731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065CE4"/>
    <w:multiLevelType w:val="hybridMultilevel"/>
    <w:tmpl w:val="4FFE4F3C"/>
    <w:lvl w:ilvl="0" w:tplc="FFFFFFFF">
      <w:start w:val="1"/>
      <w:numFmt w:val="decimal"/>
      <w:suff w:val="space"/>
      <w:lvlText w:val="%1."/>
      <w:lvlJc w:val="left"/>
      <w:pPr>
        <w:ind w:left="0" w:firstLine="0"/>
      </w:pPr>
      <w:rPr>
        <w:rFonts w:ascii="Arial" w:hAnsi="Arial" w:hint="default"/>
        <w:sz w:val="24"/>
      </w:rPr>
    </w:lvl>
    <w:lvl w:ilvl="1" w:tplc="4232C658">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16233A"/>
    <w:multiLevelType w:val="hybridMultilevel"/>
    <w:tmpl w:val="7D8E4CF4"/>
    <w:lvl w:ilvl="0" w:tplc="89F29B3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FF30724"/>
    <w:multiLevelType w:val="hybridMultilevel"/>
    <w:tmpl w:val="F21246F8"/>
    <w:lvl w:ilvl="0" w:tplc="4E3E28E8">
      <w:start w:val="1"/>
      <w:numFmt w:val="bullet"/>
      <w:pStyle w:val="TextTableBullet"/>
      <w:lvlText w:val=""/>
      <w:lvlJc w:val="left"/>
      <w:pPr>
        <w:tabs>
          <w:tab w:val="num" w:pos="420"/>
        </w:tabs>
        <w:ind w:left="3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D97520"/>
    <w:multiLevelType w:val="hybridMultilevel"/>
    <w:tmpl w:val="34F06952"/>
    <w:lvl w:ilvl="0" w:tplc="4232C658">
      <w:start w:val="1"/>
      <w:numFmt w:val="lowerLetter"/>
      <w:lvlText w:val="(%1)"/>
      <w:lvlJc w:val="left"/>
      <w:pPr>
        <w:ind w:left="144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1DC634B"/>
    <w:multiLevelType w:val="hybridMultilevel"/>
    <w:tmpl w:val="0270F978"/>
    <w:lvl w:ilvl="0" w:tplc="28662D8E">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B53D29"/>
    <w:multiLevelType w:val="hybridMultilevel"/>
    <w:tmpl w:val="3E8E567A"/>
    <w:lvl w:ilvl="0" w:tplc="FFFFFFFF">
      <w:start w:val="1"/>
      <w:numFmt w:val="decimal"/>
      <w:suff w:val="space"/>
      <w:lvlText w:val="%1."/>
      <w:lvlJc w:val="left"/>
      <w:pPr>
        <w:ind w:left="0" w:firstLine="0"/>
      </w:pPr>
      <w:rPr>
        <w:rFonts w:ascii="Arial" w:hAnsi="Arial" w:hint="default"/>
        <w:sz w:val="24"/>
      </w:rPr>
    </w:lvl>
    <w:lvl w:ilvl="1" w:tplc="FFFFFFFF">
      <w:start w:val="1"/>
      <w:numFmt w:val="lowerLetter"/>
      <w:lvlText w:val="(%2)"/>
      <w:lvlJc w:val="left"/>
      <w:pPr>
        <w:ind w:left="1440" w:hanging="360"/>
      </w:pPr>
      <w:rPr>
        <w:rFonts w:hint="default"/>
        <w:i w:val="0"/>
      </w:rPr>
    </w:lvl>
    <w:lvl w:ilvl="2" w:tplc="0D96731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924DE2"/>
    <w:multiLevelType w:val="hybridMultilevel"/>
    <w:tmpl w:val="454CE044"/>
    <w:lvl w:ilvl="0" w:tplc="6696F422">
      <w:start w:val="1"/>
      <w:numFmt w:val="decimal"/>
      <w:lvlText w:val="%1."/>
      <w:lvlJc w:val="left"/>
      <w:pPr>
        <w:tabs>
          <w:tab w:val="num" w:pos="397"/>
        </w:tabs>
        <w:ind w:left="397" w:hanging="397"/>
      </w:pPr>
      <w:rPr>
        <w:rFonts w:ascii="Arial" w:hAnsi="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26675050">
    <w:abstractNumId w:val="18"/>
  </w:num>
  <w:num w:numId="2" w16cid:durableId="248392567">
    <w:abstractNumId w:val="16"/>
  </w:num>
  <w:num w:numId="3" w16cid:durableId="1836145603">
    <w:abstractNumId w:val="0"/>
  </w:num>
  <w:num w:numId="4" w16cid:durableId="993290781">
    <w:abstractNumId w:val="3"/>
  </w:num>
  <w:num w:numId="5" w16cid:durableId="1269193792">
    <w:abstractNumId w:val="8"/>
  </w:num>
  <w:num w:numId="6" w16cid:durableId="2124305169">
    <w:abstractNumId w:val="20"/>
  </w:num>
  <w:num w:numId="7" w16cid:durableId="1263996940">
    <w:abstractNumId w:val="5"/>
  </w:num>
  <w:num w:numId="8" w16cid:durableId="483394096">
    <w:abstractNumId w:val="19"/>
  </w:num>
  <w:num w:numId="9" w16cid:durableId="853809959">
    <w:abstractNumId w:val="13"/>
  </w:num>
  <w:num w:numId="10" w16cid:durableId="200096333">
    <w:abstractNumId w:val="2"/>
  </w:num>
  <w:num w:numId="11" w16cid:durableId="1654750839">
    <w:abstractNumId w:val="14"/>
  </w:num>
  <w:num w:numId="12" w16cid:durableId="942297208">
    <w:abstractNumId w:val="12"/>
  </w:num>
  <w:num w:numId="13" w16cid:durableId="1734699379">
    <w:abstractNumId w:val="6"/>
  </w:num>
  <w:num w:numId="14" w16cid:durableId="1309477231">
    <w:abstractNumId w:val="4"/>
  </w:num>
  <w:num w:numId="15" w16cid:durableId="613177876">
    <w:abstractNumId w:val="17"/>
  </w:num>
  <w:num w:numId="16" w16cid:durableId="2072144720">
    <w:abstractNumId w:val="9"/>
  </w:num>
  <w:num w:numId="17" w16cid:durableId="1953635646">
    <w:abstractNumId w:val="1"/>
  </w:num>
  <w:num w:numId="18" w16cid:durableId="2090423540">
    <w:abstractNumId w:val="10"/>
  </w:num>
  <w:num w:numId="19" w16cid:durableId="1513102620">
    <w:abstractNumId w:val="15"/>
  </w:num>
  <w:num w:numId="20" w16cid:durableId="1976979896">
    <w:abstractNumId w:val="7"/>
  </w:num>
  <w:num w:numId="21" w16cid:durableId="46492889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BE"/>
    <w:rsid w:val="000005BE"/>
    <w:rsid w:val="00005265"/>
    <w:rsid w:val="00006AFB"/>
    <w:rsid w:val="00010382"/>
    <w:rsid w:val="00020D79"/>
    <w:rsid w:val="000268BD"/>
    <w:rsid w:val="000308F6"/>
    <w:rsid w:val="00030E8E"/>
    <w:rsid w:val="00033509"/>
    <w:rsid w:val="00041A0D"/>
    <w:rsid w:val="000560D5"/>
    <w:rsid w:val="00061AC0"/>
    <w:rsid w:val="00062F87"/>
    <w:rsid w:val="00063B92"/>
    <w:rsid w:val="00070858"/>
    <w:rsid w:val="000727EB"/>
    <w:rsid w:val="000738D2"/>
    <w:rsid w:val="00087429"/>
    <w:rsid w:val="00091F5B"/>
    <w:rsid w:val="00093B20"/>
    <w:rsid w:val="00094E20"/>
    <w:rsid w:val="000A58DA"/>
    <w:rsid w:val="000B2F9D"/>
    <w:rsid w:val="000B5143"/>
    <w:rsid w:val="000B64A5"/>
    <w:rsid w:val="000B7C09"/>
    <w:rsid w:val="000C0D99"/>
    <w:rsid w:val="000C1897"/>
    <w:rsid w:val="000C6083"/>
    <w:rsid w:val="000D1496"/>
    <w:rsid w:val="000D19BD"/>
    <w:rsid w:val="000E407E"/>
    <w:rsid w:val="000E5487"/>
    <w:rsid w:val="000F333F"/>
    <w:rsid w:val="000F5338"/>
    <w:rsid w:val="001016A3"/>
    <w:rsid w:val="00103DAD"/>
    <w:rsid w:val="001066CA"/>
    <w:rsid w:val="0011040D"/>
    <w:rsid w:val="00116E76"/>
    <w:rsid w:val="00117C05"/>
    <w:rsid w:val="00121EAD"/>
    <w:rsid w:val="00136BC1"/>
    <w:rsid w:val="00136DDC"/>
    <w:rsid w:val="00142DEB"/>
    <w:rsid w:val="00143225"/>
    <w:rsid w:val="00154FBD"/>
    <w:rsid w:val="00155E5F"/>
    <w:rsid w:val="00161A9C"/>
    <w:rsid w:val="00170192"/>
    <w:rsid w:val="00170971"/>
    <w:rsid w:val="001720BB"/>
    <w:rsid w:val="001738C4"/>
    <w:rsid w:val="00175FF3"/>
    <w:rsid w:val="001814D1"/>
    <w:rsid w:val="001823B6"/>
    <w:rsid w:val="00186073"/>
    <w:rsid w:val="00191C9E"/>
    <w:rsid w:val="001937E5"/>
    <w:rsid w:val="0019469D"/>
    <w:rsid w:val="0019501C"/>
    <w:rsid w:val="00196F26"/>
    <w:rsid w:val="001B7550"/>
    <w:rsid w:val="001B7FED"/>
    <w:rsid w:val="001E1D9E"/>
    <w:rsid w:val="001F1E2D"/>
    <w:rsid w:val="001F5411"/>
    <w:rsid w:val="00201214"/>
    <w:rsid w:val="00207CE2"/>
    <w:rsid w:val="00210144"/>
    <w:rsid w:val="0021182A"/>
    <w:rsid w:val="00213E58"/>
    <w:rsid w:val="002168A7"/>
    <w:rsid w:val="0021789B"/>
    <w:rsid w:val="00221FC3"/>
    <w:rsid w:val="00222B5F"/>
    <w:rsid w:val="00223C31"/>
    <w:rsid w:val="00236505"/>
    <w:rsid w:val="00237838"/>
    <w:rsid w:val="00241B8E"/>
    <w:rsid w:val="002536EA"/>
    <w:rsid w:val="00263FAE"/>
    <w:rsid w:val="00265C4A"/>
    <w:rsid w:val="00271F8D"/>
    <w:rsid w:val="00276EED"/>
    <w:rsid w:val="002849BC"/>
    <w:rsid w:val="00293D44"/>
    <w:rsid w:val="00295907"/>
    <w:rsid w:val="002A6FE5"/>
    <w:rsid w:val="002B27FD"/>
    <w:rsid w:val="002B7242"/>
    <w:rsid w:val="002C24EE"/>
    <w:rsid w:val="002D1622"/>
    <w:rsid w:val="002D2362"/>
    <w:rsid w:val="002E02A1"/>
    <w:rsid w:val="002E3DFC"/>
    <w:rsid w:val="002E47F7"/>
    <w:rsid w:val="002E79B2"/>
    <w:rsid w:val="00303443"/>
    <w:rsid w:val="0031194B"/>
    <w:rsid w:val="00312E38"/>
    <w:rsid w:val="0031497A"/>
    <w:rsid w:val="00317DAD"/>
    <w:rsid w:val="00330480"/>
    <w:rsid w:val="00333750"/>
    <w:rsid w:val="00333BC2"/>
    <w:rsid w:val="003369EB"/>
    <w:rsid w:val="00352E82"/>
    <w:rsid w:val="0035366F"/>
    <w:rsid w:val="00354C9A"/>
    <w:rsid w:val="003559B0"/>
    <w:rsid w:val="00372F00"/>
    <w:rsid w:val="003831B5"/>
    <w:rsid w:val="00386C16"/>
    <w:rsid w:val="003A2B96"/>
    <w:rsid w:val="003B0EAA"/>
    <w:rsid w:val="003B1624"/>
    <w:rsid w:val="003C0958"/>
    <w:rsid w:val="003C46B8"/>
    <w:rsid w:val="003D2510"/>
    <w:rsid w:val="003D6854"/>
    <w:rsid w:val="003E243C"/>
    <w:rsid w:val="003E2EDA"/>
    <w:rsid w:val="003E3FFA"/>
    <w:rsid w:val="003E4F7B"/>
    <w:rsid w:val="003F4A00"/>
    <w:rsid w:val="0040186A"/>
    <w:rsid w:val="00401F44"/>
    <w:rsid w:val="00411BB3"/>
    <w:rsid w:val="00430732"/>
    <w:rsid w:val="00441FBB"/>
    <w:rsid w:val="0044266F"/>
    <w:rsid w:val="00445D5D"/>
    <w:rsid w:val="0045079A"/>
    <w:rsid w:val="00450E22"/>
    <w:rsid w:val="0045787D"/>
    <w:rsid w:val="004622B0"/>
    <w:rsid w:val="00470ED5"/>
    <w:rsid w:val="00473187"/>
    <w:rsid w:val="004747ED"/>
    <w:rsid w:val="00474A0F"/>
    <w:rsid w:val="0047517F"/>
    <w:rsid w:val="00476FF7"/>
    <w:rsid w:val="004776D0"/>
    <w:rsid w:val="004940EA"/>
    <w:rsid w:val="004974C3"/>
    <w:rsid w:val="004A12C4"/>
    <w:rsid w:val="004A2406"/>
    <w:rsid w:val="004A28F0"/>
    <w:rsid w:val="004A4080"/>
    <w:rsid w:val="004A5264"/>
    <w:rsid w:val="004B12D4"/>
    <w:rsid w:val="004B2C2F"/>
    <w:rsid w:val="004C1ADC"/>
    <w:rsid w:val="004C1FE9"/>
    <w:rsid w:val="004C4086"/>
    <w:rsid w:val="004C51BB"/>
    <w:rsid w:val="004C697E"/>
    <w:rsid w:val="004D3886"/>
    <w:rsid w:val="004D50E7"/>
    <w:rsid w:val="004D6AA6"/>
    <w:rsid w:val="004E4EF3"/>
    <w:rsid w:val="004F25CA"/>
    <w:rsid w:val="005023FE"/>
    <w:rsid w:val="005036CC"/>
    <w:rsid w:val="0050769D"/>
    <w:rsid w:val="00511B1B"/>
    <w:rsid w:val="0052625E"/>
    <w:rsid w:val="00530168"/>
    <w:rsid w:val="00543E50"/>
    <w:rsid w:val="00544364"/>
    <w:rsid w:val="0054543F"/>
    <w:rsid w:val="00545774"/>
    <w:rsid w:val="00545B44"/>
    <w:rsid w:val="00545D51"/>
    <w:rsid w:val="0055714D"/>
    <w:rsid w:val="0055777D"/>
    <w:rsid w:val="005630F8"/>
    <w:rsid w:val="00571F83"/>
    <w:rsid w:val="00573C23"/>
    <w:rsid w:val="0057594B"/>
    <w:rsid w:val="00577A02"/>
    <w:rsid w:val="005847F9"/>
    <w:rsid w:val="005853CC"/>
    <w:rsid w:val="00586BAE"/>
    <w:rsid w:val="00587369"/>
    <w:rsid w:val="00587C56"/>
    <w:rsid w:val="005939D5"/>
    <w:rsid w:val="005A1FF7"/>
    <w:rsid w:val="005B0888"/>
    <w:rsid w:val="005B1686"/>
    <w:rsid w:val="005B1FB2"/>
    <w:rsid w:val="005B42AA"/>
    <w:rsid w:val="005C15B5"/>
    <w:rsid w:val="005C5E0F"/>
    <w:rsid w:val="005D1320"/>
    <w:rsid w:val="005D793C"/>
    <w:rsid w:val="005D7A92"/>
    <w:rsid w:val="005E384D"/>
    <w:rsid w:val="005E4DE2"/>
    <w:rsid w:val="00603CF3"/>
    <w:rsid w:val="00604A3C"/>
    <w:rsid w:val="00617396"/>
    <w:rsid w:val="00620C07"/>
    <w:rsid w:val="00630337"/>
    <w:rsid w:val="00636A6D"/>
    <w:rsid w:val="006415B4"/>
    <w:rsid w:val="00641902"/>
    <w:rsid w:val="00644E1D"/>
    <w:rsid w:val="00645EA0"/>
    <w:rsid w:val="00647C43"/>
    <w:rsid w:val="0065454A"/>
    <w:rsid w:val="00655E56"/>
    <w:rsid w:val="0066075A"/>
    <w:rsid w:val="00660948"/>
    <w:rsid w:val="00667265"/>
    <w:rsid w:val="00670A4F"/>
    <w:rsid w:val="00673666"/>
    <w:rsid w:val="0067426D"/>
    <w:rsid w:val="00680354"/>
    <w:rsid w:val="00680B95"/>
    <w:rsid w:val="00691A8A"/>
    <w:rsid w:val="00692977"/>
    <w:rsid w:val="00694961"/>
    <w:rsid w:val="006B00A8"/>
    <w:rsid w:val="006C1221"/>
    <w:rsid w:val="006C297D"/>
    <w:rsid w:val="006C4955"/>
    <w:rsid w:val="006D005B"/>
    <w:rsid w:val="006D2380"/>
    <w:rsid w:val="006D3882"/>
    <w:rsid w:val="006D559A"/>
    <w:rsid w:val="006D76DE"/>
    <w:rsid w:val="006D773E"/>
    <w:rsid w:val="006E3396"/>
    <w:rsid w:val="006E78B1"/>
    <w:rsid w:val="006F28E2"/>
    <w:rsid w:val="006F2C4B"/>
    <w:rsid w:val="00700798"/>
    <w:rsid w:val="00700F61"/>
    <w:rsid w:val="007113BF"/>
    <w:rsid w:val="007257CE"/>
    <w:rsid w:val="00726936"/>
    <w:rsid w:val="00726D0A"/>
    <w:rsid w:val="007322BC"/>
    <w:rsid w:val="007331EF"/>
    <w:rsid w:val="007332A0"/>
    <w:rsid w:val="00736C05"/>
    <w:rsid w:val="00746C32"/>
    <w:rsid w:val="00755110"/>
    <w:rsid w:val="00756B78"/>
    <w:rsid w:val="007603E4"/>
    <w:rsid w:val="00761A3B"/>
    <w:rsid w:val="0077322C"/>
    <w:rsid w:val="00777FEE"/>
    <w:rsid w:val="00791911"/>
    <w:rsid w:val="00796DB0"/>
    <w:rsid w:val="00797729"/>
    <w:rsid w:val="007A2586"/>
    <w:rsid w:val="007B01F0"/>
    <w:rsid w:val="007B39E5"/>
    <w:rsid w:val="007B51A3"/>
    <w:rsid w:val="007B5673"/>
    <w:rsid w:val="007C1C5D"/>
    <w:rsid w:val="007C572E"/>
    <w:rsid w:val="007D0B34"/>
    <w:rsid w:val="007D187D"/>
    <w:rsid w:val="007D6C35"/>
    <w:rsid w:val="007E218C"/>
    <w:rsid w:val="007E47DB"/>
    <w:rsid w:val="007E55AB"/>
    <w:rsid w:val="007E5B74"/>
    <w:rsid w:val="007F0701"/>
    <w:rsid w:val="007F4529"/>
    <w:rsid w:val="007F607B"/>
    <w:rsid w:val="0080179B"/>
    <w:rsid w:val="008025C3"/>
    <w:rsid w:val="00812291"/>
    <w:rsid w:val="008150F7"/>
    <w:rsid w:val="0081591B"/>
    <w:rsid w:val="00816B39"/>
    <w:rsid w:val="00822347"/>
    <w:rsid w:val="00830E04"/>
    <w:rsid w:val="008325C6"/>
    <w:rsid w:val="00835C0E"/>
    <w:rsid w:val="00845D0D"/>
    <w:rsid w:val="0084698F"/>
    <w:rsid w:val="00852AA4"/>
    <w:rsid w:val="008615BE"/>
    <w:rsid w:val="00864D61"/>
    <w:rsid w:val="00865967"/>
    <w:rsid w:val="0087770D"/>
    <w:rsid w:val="00877EAA"/>
    <w:rsid w:val="00880932"/>
    <w:rsid w:val="00894152"/>
    <w:rsid w:val="00895F56"/>
    <w:rsid w:val="008A127B"/>
    <w:rsid w:val="008A1E82"/>
    <w:rsid w:val="008A5C7C"/>
    <w:rsid w:val="008A6A10"/>
    <w:rsid w:val="008A775B"/>
    <w:rsid w:val="008B6768"/>
    <w:rsid w:val="008B71C0"/>
    <w:rsid w:val="008C15DE"/>
    <w:rsid w:val="008D2792"/>
    <w:rsid w:val="008E3BBB"/>
    <w:rsid w:val="008E4427"/>
    <w:rsid w:val="008E58A0"/>
    <w:rsid w:val="008F2EC0"/>
    <w:rsid w:val="00900CA9"/>
    <w:rsid w:val="00900F37"/>
    <w:rsid w:val="0090659F"/>
    <w:rsid w:val="00907ABA"/>
    <w:rsid w:val="00924681"/>
    <w:rsid w:val="0094453F"/>
    <w:rsid w:val="00960DF4"/>
    <w:rsid w:val="00961DFC"/>
    <w:rsid w:val="009652FC"/>
    <w:rsid w:val="0097277E"/>
    <w:rsid w:val="00973D15"/>
    <w:rsid w:val="00976222"/>
    <w:rsid w:val="00977B34"/>
    <w:rsid w:val="0098325F"/>
    <w:rsid w:val="0098397E"/>
    <w:rsid w:val="00986C76"/>
    <w:rsid w:val="00986FE1"/>
    <w:rsid w:val="00997056"/>
    <w:rsid w:val="009A310F"/>
    <w:rsid w:val="009B12A1"/>
    <w:rsid w:val="009B3FE8"/>
    <w:rsid w:val="009C3983"/>
    <w:rsid w:val="009C410A"/>
    <w:rsid w:val="009C460F"/>
    <w:rsid w:val="009D2FCD"/>
    <w:rsid w:val="009D6848"/>
    <w:rsid w:val="009E034C"/>
    <w:rsid w:val="009E2BBA"/>
    <w:rsid w:val="009E4A4E"/>
    <w:rsid w:val="009F1BB1"/>
    <w:rsid w:val="009F4664"/>
    <w:rsid w:val="009F49CD"/>
    <w:rsid w:val="009F7A20"/>
    <w:rsid w:val="00A0148D"/>
    <w:rsid w:val="00A02452"/>
    <w:rsid w:val="00A07C89"/>
    <w:rsid w:val="00A11EB9"/>
    <w:rsid w:val="00A13888"/>
    <w:rsid w:val="00A158AB"/>
    <w:rsid w:val="00A17AE5"/>
    <w:rsid w:val="00A22411"/>
    <w:rsid w:val="00A42C0B"/>
    <w:rsid w:val="00A47FAE"/>
    <w:rsid w:val="00A50A3E"/>
    <w:rsid w:val="00A57683"/>
    <w:rsid w:val="00A669E0"/>
    <w:rsid w:val="00A75436"/>
    <w:rsid w:val="00A76D84"/>
    <w:rsid w:val="00A81C30"/>
    <w:rsid w:val="00A85435"/>
    <w:rsid w:val="00A87A6F"/>
    <w:rsid w:val="00A90736"/>
    <w:rsid w:val="00A909A9"/>
    <w:rsid w:val="00A9715E"/>
    <w:rsid w:val="00AA4410"/>
    <w:rsid w:val="00AB3401"/>
    <w:rsid w:val="00AB3B6E"/>
    <w:rsid w:val="00AC004C"/>
    <w:rsid w:val="00AC19C9"/>
    <w:rsid w:val="00AC5391"/>
    <w:rsid w:val="00AD5191"/>
    <w:rsid w:val="00AE4B45"/>
    <w:rsid w:val="00AE68A5"/>
    <w:rsid w:val="00AE6C50"/>
    <w:rsid w:val="00AF34A4"/>
    <w:rsid w:val="00B03CFE"/>
    <w:rsid w:val="00B0461A"/>
    <w:rsid w:val="00B20721"/>
    <w:rsid w:val="00B23454"/>
    <w:rsid w:val="00B23821"/>
    <w:rsid w:val="00B25F19"/>
    <w:rsid w:val="00B27F8A"/>
    <w:rsid w:val="00B301F5"/>
    <w:rsid w:val="00B37A72"/>
    <w:rsid w:val="00B37DA5"/>
    <w:rsid w:val="00B43FE2"/>
    <w:rsid w:val="00B5634E"/>
    <w:rsid w:val="00B60F11"/>
    <w:rsid w:val="00B62702"/>
    <w:rsid w:val="00B676B4"/>
    <w:rsid w:val="00B677B6"/>
    <w:rsid w:val="00B70FBA"/>
    <w:rsid w:val="00B843C0"/>
    <w:rsid w:val="00B84819"/>
    <w:rsid w:val="00B85829"/>
    <w:rsid w:val="00B878D7"/>
    <w:rsid w:val="00B93F1D"/>
    <w:rsid w:val="00B97BCF"/>
    <w:rsid w:val="00BC32B3"/>
    <w:rsid w:val="00BC3844"/>
    <w:rsid w:val="00BC421B"/>
    <w:rsid w:val="00BD5DD7"/>
    <w:rsid w:val="00BE0BE6"/>
    <w:rsid w:val="00BF6B8C"/>
    <w:rsid w:val="00BF6F81"/>
    <w:rsid w:val="00C05DAC"/>
    <w:rsid w:val="00C07DAB"/>
    <w:rsid w:val="00C14E78"/>
    <w:rsid w:val="00C1511B"/>
    <w:rsid w:val="00C1541E"/>
    <w:rsid w:val="00C1542D"/>
    <w:rsid w:val="00C157E3"/>
    <w:rsid w:val="00C17DE0"/>
    <w:rsid w:val="00C24957"/>
    <w:rsid w:val="00C24E69"/>
    <w:rsid w:val="00C357B1"/>
    <w:rsid w:val="00C35AAE"/>
    <w:rsid w:val="00C35F14"/>
    <w:rsid w:val="00C4682A"/>
    <w:rsid w:val="00C50BCF"/>
    <w:rsid w:val="00C532E0"/>
    <w:rsid w:val="00C6277C"/>
    <w:rsid w:val="00C7464B"/>
    <w:rsid w:val="00C75994"/>
    <w:rsid w:val="00C83647"/>
    <w:rsid w:val="00C84755"/>
    <w:rsid w:val="00C86331"/>
    <w:rsid w:val="00C90738"/>
    <w:rsid w:val="00C944FC"/>
    <w:rsid w:val="00CA1E4B"/>
    <w:rsid w:val="00CA2AF7"/>
    <w:rsid w:val="00CA2D6B"/>
    <w:rsid w:val="00CB27B9"/>
    <w:rsid w:val="00CB4489"/>
    <w:rsid w:val="00CB4D9E"/>
    <w:rsid w:val="00CB7F63"/>
    <w:rsid w:val="00CC165F"/>
    <w:rsid w:val="00CC1BBF"/>
    <w:rsid w:val="00CD0159"/>
    <w:rsid w:val="00CD4250"/>
    <w:rsid w:val="00CE11ED"/>
    <w:rsid w:val="00CE4B37"/>
    <w:rsid w:val="00CE60D4"/>
    <w:rsid w:val="00CF099C"/>
    <w:rsid w:val="00CF3C16"/>
    <w:rsid w:val="00D06747"/>
    <w:rsid w:val="00D10DD0"/>
    <w:rsid w:val="00D16004"/>
    <w:rsid w:val="00D21436"/>
    <w:rsid w:val="00D279D8"/>
    <w:rsid w:val="00D34F12"/>
    <w:rsid w:val="00D50802"/>
    <w:rsid w:val="00D51E5A"/>
    <w:rsid w:val="00D5630D"/>
    <w:rsid w:val="00D6414D"/>
    <w:rsid w:val="00D74009"/>
    <w:rsid w:val="00D82FCD"/>
    <w:rsid w:val="00D911D1"/>
    <w:rsid w:val="00DA1D96"/>
    <w:rsid w:val="00DC3E06"/>
    <w:rsid w:val="00DD72FB"/>
    <w:rsid w:val="00E04CD5"/>
    <w:rsid w:val="00E1067E"/>
    <w:rsid w:val="00E11195"/>
    <w:rsid w:val="00E2572E"/>
    <w:rsid w:val="00E272B3"/>
    <w:rsid w:val="00E30B13"/>
    <w:rsid w:val="00E357CD"/>
    <w:rsid w:val="00E366EE"/>
    <w:rsid w:val="00E40A8B"/>
    <w:rsid w:val="00E419C5"/>
    <w:rsid w:val="00E43960"/>
    <w:rsid w:val="00E51C18"/>
    <w:rsid w:val="00E54977"/>
    <w:rsid w:val="00E57297"/>
    <w:rsid w:val="00E62CF1"/>
    <w:rsid w:val="00E65AEE"/>
    <w:rsid w:val="00E711C9"/>
    <w:rsid w:val="00E7466F"/>
    <w:rsid w:val="00E74CEE"/>
    <w:rsid w:val="00E86BF4"/>
    <w:rsid w:val="00E902D8"/>
    <w:rsid w:val="00E9051A"/>
    <w:rsid w:val="00EA29EC"/>
    <w:rsid w:val="00EA3128"/>
    <w:rsid w:val="00EB09BF"/>
    <w:rsid w:val="00EB2997"/>
    <w:rsid w:val="00EB7CE7"/>
    <w:rsid w:val="00ED1CFC"/>
    <w:rsid w:val="00ED2742"/>
    <w:rsid w:val="00ED3C9D"/>
    <w:rsid w:val="00ED5EC7"/>
    <w:rsid w:val="00EE2621"/>
    <w:rsid w:val="00EE57CD"/>
    <w:rsid w:val="00EF6574"/>
    <w:rsid w:val="00F04C63"/>
    <w:rsid w:val="00F072A4"/>
    <w:rsid w:val="00F12533"/>
    <w:rsid w:val="00F13BB6"/>
    <w:rsid w:val="00F1668A"/>
    <w:rsid w:val="00F22432"/>
    <w:rsid w:val="00F37D2E"/>
    <w:rsid w:val="00F47C84"/>
    <w:rsid w:val="00F60E64"/>
    <w:rsid w:val="00F66F73"/>
    <w:rsid w:val="00F73BF6"/>
    <w:rsid w:val="00F76F7B"/>
    <w:rsid w:val="00F80384"/>
    <w:rsid w:val="00F91D9F"/>
    <w:rsid w:val="00F96912"/>
    <w:rsid w:val="00FA30E4"/>
    <w:rsid w:val="00FA358E"/>
    <w:rsid w:val="00FA4A41"/>
    <w:rsid w:val="00FA4C36"/>
    <w:rsid w:val="00FB16C6"/>
    <w:rsid w:val="00FB2B66"/>
    <w:rsid w:val="00FB3E46"/>
    <w:rsid w:val="00FB5586"/>
    <w:rsid w:val="00FC38C4"/>
    <w:rsid w:val="00FD63D0"/>
    <w:rsid w:val="00FD650A"/>
    <w:rsid w:val="00FD7BAD"/>
    <w:rsid w:val="00FE32C6"/>
    <w:rsid w:val="00FE4483"/>
    <w:rsid w:val="00FE50B4"/>
    <w:rsid w:val="00FE74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C494"/>
  <w15:chartTrackingRefBased/>
  <w15:docId w15:val="{720CAA61-30A3-4D37-BE9E-76594313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8615BE"/>
    <w:pPr>
      <w:keepNext/>
      <w:keepLines/>
      <w:pBdr>
        <w:bottom w:val="single" w:sz="4" w:space="1" w:color="D9D9D9" w:themeColor="background1" w:themeShade="D9"/>
      </w:pBdr>
      <w:spacing w:before="450" w:line="345" w:lineRule="exact"/>
      <w:ind w:right="-3060"/>
      <w:outlineLvl w:val="0"/>
    </w:pPr>
    <w:rPr>
      <w:rFonts w:ascii="Arial" w:hAnsi="Arial" w:cs="Arial"/>
      <w:b/>
      <w:bCs/>
      <w:kern w:val="0"/>
      <w:sz w:val="40"/>
      <w:szCs w:val="40"/>
      <w:lang w:val="fr-CA"/>
      <w14:ligatures w14:val="none"/>
    </w:rPr>
  </w:style>
  <w:style w:type="paragraph" w:styleId="Heading2">
    <w:name w:val="heading 2"/>
    <w:basedOn w:val="Normal"/>
    <w:next w:val="Normal"/>
    <w:link w:val="Heading2Char"/>
    <w:autoRedefine/>
    <w:unhideWhenUsed/>
    <w:qFormat/>
    <w:rsid w:val="008615BE"/>
    <w:pPr>
      <w:keepNext/>
      <w:keepLines/>
      <w:shd w:val="clear" w:color="auto" w:fill="FFFFFF"/>
      <w:spacing w:before="570" w:line="345" w:lineRule="exact"/>
      <w:outlineLvl w:val="1"/>
    </w:pPr>
    <w:rPr>
      <w:rFonts w:ascii="Arial" w:hAnsi="Arial" w:cs="Arial"/>
      <w:b/>
      <w:bCs/>
      <w:color w:val="333333"/>
      <w:kern w:val="0"/>
      <w:sz w:val="36"/>
      <w:szCs w:val="36"/>
      <w:lang w:val="fr-CA" w:eastAsia="en-CA"/>
      <w14:ligatures w14:val="none"/>
    </w:rPr>
  </w:style>
  <w:style w:type="paragraph" w:styleId="Heading3">
    <w:name w:val="heading 3"/>
    <w:basedOn w:val="Normal"/>
    <w:next w:val="Normal"/>
    <w:link w:val="Heading3Char"/>
    <w:autoRedefine/>
    <w:unhideWhenUsed/>
    <w:qFormat/>
    <w:rsid w:val="008615BE"/>
    <w:pPr>
      <w:spacing w:before="480" w:after="173" w:line="345" w:lineRule="exact"/>
      <w:outlineLvl w:val="2"/>
    </w:pPr>
    <w:rPr>
      <w:rFonts w:ascii="Arial" w:hAnsi="Arial"/>
      <w:bCs/>
      <w:kern w:val="0"/>
      <w:sz w:val="32"/>
      <w:szCs w:val="32"/>
      <w:lang w:val="fr-CA"/>
      <w14:ligatures w14:val="none"/>
    </w:rPr>
  </w:style>
  <w:style w:type="paragraph" w:styleId="Heading4">
    <w:name w:val="heading 4"/>
    <w:basedOn w:val="Normal"/>
    <w:next w:val="Normal"/>
    <w:link w:val="Heading4Char"/>
    <w:autoRedefine/>
    <w:unhideWhenUsed/>
    <w:qFormat/>
    <w:rsid w:val="005D793C"/>
    <w:pPr>
      <w:spacing w:before="390" w:after="173" w:line="345" w:lineRule="exact"/>
      <w:outlineLvl w:val="3"/>
    </w:pPr>
    <w:rPr>
      <w:rFonts w:ascii="Arial" w:hAnsi="Arial"/>
      <w:kern w:val="0"/>
      <w:sz w:val="27"/>
      <w:szCs w:val="27"/>
      <w:lang w:val="fr-CA"/>
      <w14:ligatures w14:val="none"/>
    </w:rPr>
  </w:style>
  <w:style w:type="paragraph" w:styleId="Heading5">
    <w:name w:val="heading 5"/>
    <w:basedOn w:val="Normal"/>
    <w:next w:val="Normal"/>
    <w:link w:val="Heading5Char"/>
    <w:semiHidden/>
    <w:qFormat/>
    <w:rsid w:val="008615BE"/>
    <w:pPr>
      <w:keepNext/>
      <w:keepLines/>
      <w:overflowPunct w:val="0"/>
      <w:autoSpaceDE w:val="0"/>
      <w:autoSpaceDN w:val="0"/>
      <w:adjustRightInd w:val="0"/>
      <w:spacing w:after="0" w:line="240" w:lineRule="exact"/>
      <w:textAlignment w:val="baseline"/>
      <w:outlineLvl w:val="4"/>
    </w:pPr>
    <w:rPr>
      <w:rFonts w:ascii="Arial" w:eastAsia="Times New Roman" w:hAnsi="Arial" w:cs="Times New Roman"/>
      <w:b/>
      <w:kern w:val="0"/>
      <w:sz w:val="18"/>
      <w:szCs w:val="20"/>
      <w:lang w:val="fr-CA"/>
      <w14:ligatures w14:val="none"/>
    </w:rPr>
  </w:style>
  <w:style w:type="paragraph" w:styleId="Heading6">
    <w:name w:val="heading 6"/>
    <w:basedOn w:val="Normal"/>
    <w:next w:val="Normal"/>
    <w:link w:val="Heading6Char"/>
    <w:semiHidden/>
    <w:qFormat/>
    <w:rsid w:val="008615BE"/>
    <w:pPr>
      <w:keepNext/>
      <w:overflowPunct w:val="0"/>
      <w:autoSpaceDE w:val="0"/>
      <w:autoSpaceDN w:val="0"/>
      <w:adjustRightInd w:val="0"/>
      <w:spacing w:after="120" w:line="240" w:lineRule="exact"/>
      <w:ind w:left="180"/>
      <w:textAlignment w:val="baseline"/>
      <w:outlineLvl w:val="5"/>
    </w:pPr>
    <w:rPr>
      <w:rFonts w:ascii="Times New Roman" w:eastAsia="Times New Roman" w:hAnsi="Times New Roman" w:cs="Times New Roman"/>
      <w:b/>
      <w:kern w:val="0"/>
      <w:sz w:val="20"/>
      <w:szCs w:val="20"/>
      <w:lang w:val="fr-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15BE"/>
    <w:rPr>
      <w:rFonts w:ascii="Arial" w:hAnsi="Arial" w:cs="Arial"/>
      <w:b/>
      <w:bCs/>
      <w:kern w:val="0"/>
      <w:sz w:val="40"/>
      <w:szCs w:val="40"/>
      <w:lang w:val="fr-CA"/>
      <w14:ligatures w14:val="none"/>
    </w:rPr>
  </w:style>
  <w:style w:type="character" w:customStyle="1" w:styleId="Heading2Char">
    <w:name w:val="Heading 2 Char"/>
    <w:basedOn w:val="DefaultParagraphFont"/>
    <w:link w:val="Heading2"/>
    <w:rsid w:val="008615BE"/>
    <w:rPr>
      <w:rFonts w:ascii="Arial" w:hAnsi="Arial" w:cs="Arial"/>
      <w:b/>
      <w:bCs/>
      <w:color w:val="333333"/>
      <w:kern w:val="0"/>
      <w:sz w:val="36"/>
      <w:szCs w:val="36"/>
      <w:shd w:val="clear" w:color="auto" w:fill="FFFFFF"/>
      <w:lang w:val="fr-CA" w:eastAsia="en-CA"/>
      <w14:ligatures w14:val="none"/>
    </w:rPr>
  </w:style>
  <w:style w:type="character" w:customStyle="1" w:styleId="Heading3Char">
    <w:name w:val="Heading 3 Char"/>
    <w:basedOn w:val="DefaultParagraphFont"/>
    <w:link w:val="Heading3"/>
    <w:rsid w:val="008615BE"/>
    <w:rPr>
      <w:rFonts w:ascii="Arial" w:hAnsi="Arial"/>
      <w:bCs/>
      <w:kern w:val="0"/>
      <w:sz w:val="32"/>
      <w:szCs w:val="32"/>
      <w:lang w:val="fr-CA"/>
      <w14:ligatures w14:val="none"/>
    </w:rPr>
  </w:style>
  <w:style w:type="character" w:customStyle="1" w:styleId="Heading4Char">
    <w:name w:val="Heading 4 Char"/>
    <w:basedOn w:val="DefaultParagraphFont"/>
    <w:link w:val="Heading4"/>
    <w:rsid w:val="005D793C"/>
    <w:rPr>
      <w:rFonts w:ascii="Arial" w:hAnsi="Arial"/>
      <w:kern w:val="0"/>
      <w:sz w:val="27"/>
      <w:szCs w:val="27"/>
      <w:lang w:val="fr-CA"/>
      <w14:ligatures w14:val="none"/>
    </w:rPr>
  </w:style>
  <w:style w:type="character" w:customStyle="1" w:styleId="Heading5Char">
    <w:name w:val="Heading 5 Char"/>
    <w:basedOn w:val="DefaultParagraphFont"/>
    <w:link w:val="Heading5"/>
    <w:semiHidden/>
    <w:rsid w:val="008615BE"/>
    <w:rPr>
      <w:rFonts w:ascii="Arial" w:eastAsia="Times New Roman" w:hAnsi="Arial" w:cs="Times New Roman"/>
      <w:b/>
      <w:kern w:val="0"/>
      <w:sz w:val="18"/>
      <w:szCs w:val="20"/>
      <w:lang w:val="fr-CA"/>
      <w14:ligatures w14:val="none"/>
    </w:rPr>
  </w:style>
  <w:style w:type="character" w:customStyle="1" w:styleId="Heading6Char">
    <w:name w:val="Heading 6 Char"/>
    <w:basedOn w:val="DefaultParagraphFont"/>
    <w:link w:val="Heading6"/>
    <w:semiHidden/>
    <w:rsid w:val="008615BE"/>
    <w:rPr>
      <w:rFonts w:ascii="Times New Roman" w:eastAsia="Times New Roman" w:hAnsi="Times New Roman" w:cs="Times New Roman"/>
      <w:b/>
      <w:kern w:val="0"/>
      <w:sz w:val="20"/>
      <w:szCs w:val="20"/>
      <w:lang w:val="fr-CA"/>
      <w14:ligatures w14:val="none"/>
    </w:rPr>
  </w:style>
  <w:style w:type="paragraph" w:styleId="Header">
    <w:name w:val="header"/>
    <w:basedOn w:val="Normal"/>
    <w:link w:val="HeaderChar"/>
    <w:rsid w:val="008615BE"/>
    <w:pPr>
      <w:tabs>
        <w:tab w:val="center" w:pos="4320"/>
        <w:tab w:val="right" w:pos="8640"/>
      </w:tabs>
      <w:spacing w:after="0" w:line="240" w:lineRule="auto"/>
    </w:pPr>
    <w:rPr>
      <w:rFonts w:ascii="Times New Roman" w:eastAsia="Times New Roman" w:hAnsi="Times New Roman" w:cs="Times New Roman"/>
      <w:kern w:val="0"/>
      <w:sz w:val="24"/>
      <w:szCs w:val="24"/>
      <w:lang w:val="fr-CA"/>
      <w14:ligatures w14:val="none"/>
    </w:rPr>
  </w:style>
  <w:style w:type="character" w:customStyle="1" w:styleId="HeaderChar">
    <w:name w:val="Header Char"/>
    <w:basedOn w:val="DefaultParagraphFont"/>
    <w:link w:val="Header"/>
    <w:rsid w:val="008615BE"/>
    <w:rPr>
      <w:rFonts w:ascii="Times New Roman" w:eastAsia="Times New Roman" w:hAnsi="Times New Roman" w:cs="Times New Roman"/>
      <w:kern w:val="0"/>
      <w:sz w:val="24"/>
      <w:szCs w:val="24"/>
      <w:lang w:val="fr-CA"/>
      <w14:ligatures w14:val="none"/>
    </w:rPr>
  </w:style>
  <w:style w:type="paragraph" w:styleId="Footer">
    <w:name w:val="footer"/>
    <w:basedOn w:val="Normal"/>
    <w:link w:val="FooterChar"/>
    <w:rsid w:val="008615BE"/>
    <w:pPr>
      <w:tabs>
        <w:tab w:val="center" w:pos="4320"/>
        <w:tab w:val="right" w:pos="8640"/>
      </w:tabs>
      <w:spacing w:after="0" w:line="240" w:lineRule="auto"/>
    </w:pPr>
    <w:rPr>
      <w:rFonts w:ascii="Times New Roman" w:eastAsia="Times New Roman" w:hAnsi="Times New Roman" w:cs="Times New Roman"/>
      <w:kern w:val="0"/>
      <w:sz w:val="24"/>
      <w:szCs w:val="24"/>
      <w:lang w:val="fr-CA"/>
      <w14:ligatures w14:val="none"/>
    </w:rPr>
  </w:style>
  <w:style w:type="character" w:customStyle="1" w:styleId="FooterChar">
    <w:name w:val="Footer Char"/>
    <w:basedOn w:val="DefaultParagraphFont"/>
    <w:link w:val="Footer"/>
    <w:rsid w:val="008615BE"/>
    <w:rPr>
      <w:rFonts w:ascii="Times New Roman" w:eastAsia="Times New Roman" w:hAnsi="Times New Roman" w:cs="Times New Roman"/>
      <w:kern w:val="0"/>
      <w:sz w:val="24"/>
      <w:szCs w:val="24"/>
      <w:lang w:val="fr-CA"/>
      <w14:ligatures w14:val="none"/>
    </w:rPr>
  </w:style>
  <w:style w:type="character" w:styleId="PageNumber">
    <w:name w:val="page number"/>
    <w:basedOn w:val="DefaultParagraphFont"/>
    <w:rsid w:val="008615BE"/>
  </w:style>
  <w:style w:type="paragraph" w:customStyle="1" w:styleId="Bullets">
    <w:name w:val="Bullets"/>
    <w:basedOn w:val="Normal"/>
    <w:rsid w:val="008615BE"/>
    <w:pPr>
      <w:numPr>
        <w:numId w:val="1"/>
      </w:numPr>
      <w:spacing w:after="0" w:line="240" w:lineRule="auto"/>
    </w:pPr>
    <w:rPr>
      <w:rFonts w:ascii="Times New Roman" w:eastAsia="Times New Roman" w:hAnsi="Times New Roman" w:cs="Times New Roman"/>
      <w:kern w:val="0"/>
      <w:sz w:val="24"/>
      <w:szCs w:val="24"/>
      <w:lang w:val="fr-CA"/>
      <w14:ligatures w14:val="none"/>
    </w:rPr>
  </w:style>
  <w:style w:type="paragraph" w:styleId="BalloonText">
    <w:name w:val="Balloon Text"/>
    <w:basedOn w:val="Normal"/>
    <w:link w:val="BalloonTextChar"/>
    <w:rsid w:val="008615BE"/>
    <w:pPr>
      <w:spacing w:after="0" w:line="240" w:lineRule="auto"/>
    </w:pPr>
    <w:rPr>
      <w:rFonts w:ascii="Tahoma" w:eastAsia="Times New Roman" w:hAnsi="Tahoma" w:cs="Tahoma"/>
      <w:kern w:val="0"/>
      <w:sz w:val="16"/>
      <w:szCs w:val="16"/>
      <w:lang w:val="fr-CA"/>
      <w14:ligatures w14:val="none"/>
    </w:rPr>
  </w:style>
  <w:style w:type="character" w:customStyle="1" w:styleId="BalloonTextChar">
    <w:name w:val="Balloon Text Char"/>
    <w:basedOn w:val="DefaultParagraphFont"/>
    <w:link w:val="BalloonText"/>
    <w:rsid w:val="008615BE"/>
    <w:rPr>
      <w:rFonts w:ascii="Tahoma" w:eastAsia="Times New Roman" w:hAnsi="Tahoma" w:cs="Tahoma"/>
      <w:kern w:val="0"/>
      <w:sz w:val="16"/>
      <w:szCs w:val="16"/>
      <w:lang w:val="fr-CA"/>
      <w14:ligatures w14:val="none"/>
    </w:rPr>
  </w:style>
  <w:style w:type="table" w:styleId="TableGrid">
    <w:name w:val="Table Grid"/>
    <w:basedOn w:val="TableNormal"/>
    <w:rsid w:val="008615BE"/>
    <w:pPr>
      <w:spacing w:after="0" w:line="240" w:lineRule="auto"/>
    </w:pPr>
    <w:rPr>
      <w:rFonts w:ascii="Calibri" w:eastAsia="Calibri" w:hAnsi="Calibri" w:cs="Times New Roman"/>
      <w:kern w:val="0"/>
      <w:sz w:val="20"/>
      <w:szCs w:val="20"/>
      <w:lang w:val="fr-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15BE"/>
    <w:rPr>
      <w:color w:val="2004EC"/>
      <w:u w:val="single"/>
    </w:rPr>
  </w:style>
  <w:style w:type="paragraph" w:styleId="NormalWeb">
    <w:name w:val="Normal (Web)"/>
    <w:basedOn w:val="Normal"/>
    <w:uiPriority w:val="99"/>
    <w:unhideWhenUsed/>
    <w:rsid w:val="008615BE"/>
    <w:pPr>
      <w:spacing w:before="100" w:beforeAutospacing="1" w:after="100" w:afterAutospacing="1" w:line="240" w:lineRule="auto"/>
    </w:pPr>
    <w:rPr>
      <w:rFonts w:ascii="Times New Roman" w:hAnsi="Times New Roman"/>
      <w:kern w:val="0"/>
      <w:sz w:val="24"/>
      <w:szCs w:val="24"/>
      <w:lang w:val="fr-CA"/>
      <w14:ligatures w14:val="none"/>
    </w:rPr>
  </w:style>
  <w:style w:type="paragraph" w:styleId="ListParagraph">
    <w:name w:val="List Paragraph"/>
    <w:basedOn w:val="Normal"/>
    <w:uiPriority w:val="34"/>
    <w:qFormat/>
    <w:rsid w:val="008615BE"/>
    <w:pPr>
      <w:spacing w:line="345" w:lineRule="exact"/>
      <w:ind w:left="720"/>
      <w:contextualSpacing/>
    </w:pPr>
    <w:rPr>
      <w:rFonts w:ascii="Arial" w:hAnsi="Arial"/>
      <w:kern w:val="0"/>
      <w:sz w:val="24"/>
      <w:lang w:val="fr-CA"/>
      <w14:ligatures w14:val="none"/>
    </w:rPr>
  </w:style>
  <w:style w:type="character" w:styleId="CommentReference">
    <w:name w:val="annotation reference"/>
    <w:basedOn w:val="DefaultParagraphFont"/>
    <w:semiHidden/>
    <w:unhideWhenUsed/>
    <w:rsid w:val="008615BE"/>
    <w:rPr>
      <w:sz w:val="16"/>
      <w:szCs w:val="16"/>
    </w:rPr>
  </w:style>
  <w:style w:type="paragraph" w:styleId="CommentText">
    <w:name w:val="annotation text"/>
    <w:basedOn w:val="Normal"/>
    <w:link w:val="CommentTextChar"/>
    <w:unhideWhenUsed/>
    <w:rsid w:val="008615BE"/>
    <w:pPr>
      <w:spacing w:line="240" w:lineRule="auto"/>
    </w:pPr>
    <w:rPr>
      <w:rFonts w:ascii="Arial" w:hAnsi="Arial"/>
      <w:kern w:val="0"/>
      <w:sz w:val="20"/>
      <w:szCs w:val="20"/>
      <w:lang w:val="fr-CA"/>
      <w14:ligatures w14:val="none"/>
    </w:rPr>
  </w:style>
  <w:style w:type="character" w:customStyle="1" w:styleId="CommentTextChar">
    <w:name w:val="Comment Text Char"/>
    <w:basedOn w:val="DefaultParagraphFont"/>
    <w:link w:val="CommentText"/>
    <w:rsid w:val="008615BE"/>
    <w:rPr>
      <w:rFonts w:ascii="Arial" w:hAnsi="Arial"/>
      <w:kern w:val="0"/>
      <w:sz w:val="20"/>
      <w:szCs w:val="20"/>
      <w:lang w:val="fr-CA"/>
      <w14:ligatures w14:val="none"/>
    </w:rPr>
  </w:style>
  <w:style w:type="paragraph" w:styleId="BodyText">
    <w:name w:val="Body Text"/>
    <w:basedOn w:val="Normal"/>
    <w:link w:val="BodyTextChar"/>
    <w:uiPriority w:val="1"/>
    <w:qFormat/>
    <w:rsid w:val="008615BE"/>
    <w:pPr>
      <w:overflowPunct w:val="0"/>
      <w:autoSpaceDE w:val="0"/>
      <w:autoSpaceDN w:val="0"/>
      <w:adjustRightInd w:val="0"/>
      <w:spacing w:after="120" w:line="240" w:lineRule="exact"/>
      <w:textAlignment w:val="baseline"/>
    </w:pPr>
    <w:rPr>
      <w:rFonts w:ascii="Times New Roman" w:eastAsia="Times New Roman" w:hAnsi="Times New Roman" w:cs="Times New Roman"/>
      <w:kern w:val="0"/>
      <w:lang w:val="fr-CA"/>
      <w14:ligatures w14:val="none"/>
    </w:rPr>
  </w:style>
  <w:style w:type="character" w:customStyle="1" w:styleId="BodyTextChar">
    <w:name w:val="Body Text Char"/>
    <w:basedOn w:val="DefaultParagraphFont"/>
    <w:link w:val="BodyText"/>
    <w:uiPriority w:val="1"/>
    <w:rsid w:val="008615BE"/>
    <w:rPr>
      <w:rFonts w:ascii="Times New Roman" w:eastAsia="Times New Roman" w:hAnsi="Times New Roman" w:cs="Times New Roman"/>
      <w:kern w:val="0"/>
      <w:lang w:val="fr-CA"/>
      <w14:ligatures w14:val="none"/>
    </w:rPr>
  </w:style>
  <w:style w:type="paragraph" w:customStyle="1" w:styleId="Heading-2centered">
    <w:name w:val="Heading-2centered"/>
    <w:basedOn w:val="Normal"/>
    <w:rsid w:val="008615BE"/>
    <w:pPr>
      <w:spacing w:before="180" w:after="120" w:line="240" w:lineRule="auto"/>
      <w:ind w:left="189"/>
      <w:jc w:val="center"/>
    </w:pPr>
    <w:rPr>
      <w:rFonts w:ascii="Arial" w:eastAsia="Times New Roman" w:hAnsi="Arial" w:cs="Times New Roman"/>
      <w:b/>
      <w:bCs/>
      <w:color w:val="0000B4"/>
      <w:kern w:val="0"/>
      <w:sz w:val="28"/>
      <w:szCs w:val="20"/>
      <w:lang w:val="fr-CA"/>
      <w14:ligatures w14:val="none"/>
    </w:rPr>
  </w:style>
  <w:style w:type="paragraph" w:customStyle="1" w:styleId="ind-mar-text">
    <w:name w:val="ind-mar-text"/>
    <w:basedOn w:val="Normal"/>
    <w:rsid w:val="008615BE"/>
    <w:pPr>
      <w:tabs>
        <w:tab w:val="left" w:pos="360"/>
        <w:tab w:val="left" w:pos="720"/>
        <w:tab w:val="left" w:pos="1080"/>
        <w:tab w:val="left" w:pos="1440"/>
      </w:tabs>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kern w:val="0"/>
      <w:szCs w:val="20"/>
      <w:lang w:val="fr-CA"/>
      <w14:ligatures w14:val="none"/>
    </w:rPr>
  </w:style>
  <w:style w:type="character" w:customStyle="1" w:styleId="nowrap">
    <w:name w:val="nowrap"/>
    <w:basedOn w:val="DefaultParagraphFont"/>
    <w:rsid w:val="008615BE"/>
  </w:style>
  <w:style w:type="paragraph" w:styleId="NoSpacing">
    <w:name w:val="No Spacing"/>
    <w:uiPriority w:val="1"/>
    <w:qFormat/>
    <w:rsid w:val="008615BE"/>
    <w:pPr>
      <w:spacing w:after="0" w:line="240" w:lineRule="auto"/>
    </w:pPr>
    <w:rPr>
      <w:rFonts w:ascii="Times New Roman" w:eastAsia="Times New Roman" w:hAnsi="Times New Roman" w:cs="Times New Roman"/>
      <w:kern w:val="0"/>
      <w:sz w:val="24"/>
      <w:szCs w:val="24"/>
      <w:lang w:val="fr-CA"/>
      <w14:ligatures w14:val="none"/>
    </w:rPr>
  </w:style>
  <w:style w:type="paragraph" w:styleId="TOC1">
    <w:name w:val="toc 1"/>
    <w:basedOn w:val="Normal"/>
    <w:uiPriority w:val="1"/>
    <w:qFormat/>
    <w:rsid w:val="008615BE"/>
    <w:pPr>
      <w:overflowPunct w:val="0"/>
      <w:autoSpaceDE w:val="0"/>
      <w:autoSpaceDN w:val="0"/>
      <w:adjustRightInd w:val="0"/>
      <w:spacing w:after="120" w:line="240" w:lineRule="exact"/>
      <w:ind w:left="181"/>
      <w:textAlignment w:val="baseline"/>
    </w:pPr>
    <w:rPr>
      <w:rFonts w:ascii="Times New Roman" w:eastAsia="Times New Roman" w:hAnsi="Times New Roman" w:cs="Times New Roman"/>
      <w:b/>
      <w:bCs/>
      <w:kern w:val="0"/>
      <w:lang w:val="fr-CA"/>
      <w14:ligatures w14:val="none"/>
    </w:rPr>
  </w:style>
  <w:style w:type="paragraph" w:styleId="TOC2">
    <w:name w:val="toc 2"/>
    <w:basedOn w:val="Normal"/>
    <w:uiPriority w:val="1"/>
    <w:qFormat/>
    <w:rsid w:val="008615BE"/>
    <w:pPr>
      <w:overflowPunct w:val="0"/>
      <w:autoSpaceDE w:val="0"/>
      <w:autoSpaceDN w:val="0"/>
      <w:adjustRightInd w:val="0"/>
      <w:spacing w:after="120" w:line="240" w:lineRule="exact"/>
      <w:ind w:left="181"/>
      <w:textAlignment w:val="baseline"/>
    </w:pPr>
    <w:rPr>
      <w:rFonts w:ascii="Times New Roman" w:eastAsia="Times New Roman" w:hAnsi="Times New Roman" w:cs="Times New Roman"/>
      <w:kern w:val="0"/>
      <w:lang w:val="fr-CA"/>
      <w14:ligatures w14:val="none"/>
    </w:rPr>
  </w:style>
  <w:style w:type="paragraph" w:styleId="TOC3">
    <w:name w:val="toc 3"/>
    <w:basedOn w:val="Normal"/>
    <w:uiPriority w:val="1"/>
    <w:qFormat/>
    <w:rsid w:val="008615BE"/>
    <w:pPr>
      <w:overflowPunct w:val="0"/>
      <w:autoSpaceDE w:val="0"/>
      <w:autoSpaceDN w:val="0"/>
      <w:adjustRightInd w:val="0"/>
      <w:spacing w:before="4" w:after="120" w:line="240" w:lineRule="exact"/>
      <w:ind w:left="1222"/>
      <w:textAlignment w:val="baseline"/>
    </w:pPr>
    <w:rPr>
      <w:rFonts w:ascii="Times New Roman" w:eastAsia="Times New Roman" w:hAnsi="Times New Roman" w:cs="Times New Roman"/>
      <w:kern w:val="0"/>
      <w:lang w:val="fr-CA"/>
      <w14:ligatures w14:val="none"/>
    </w:rPr>
  </w:style>
  <w:style w:type="paragraph" w:styleId="Title">
    <w:name w:val="Title"/>
    <w:basedOn w:val="Normal"/>
    <w:link w:val="TitleChar"/>
    <w:uiPriority w:val="1"/>
    <w:qFormat/>
    <w:rsid w:val="008615BE"/>
    <w:pPr>
      <w:overflowPunct w:val="0"/>
      <w:autoSpaceDE w:val="0"/>
      <w:autoSpaceDN w:val="0"/>
      <w:adjustRightInd w:val="0"/>
      <w:spacing w:before="90" w:after="120" w:line="240" w:lineRule="exact"/>
      <w:ind w:left="2025" w:right="2557"/>
      <w:jc w:val="center"/>
      <w:textAlignment w:val="baseline"/>
    </w:pPr>
    <w:rPr>
      <w:rFonts w:ascii="Arial" w:eastAsia="Arial" w:hAnsi="Arial" w:cs="Arial"/>
      <w:b/>
      <w:bCs/>
      <w:kern w:val="0"/>
      <w:sz w:val="32"/>
      <w:szCs w:val="32"/>
      <w:lang w:val="fr-CA"/>
      <w14:ligatures w14:val="none"/>
    </w:rPr>
  </w:style>
  <w:style w:type="character" w:customStyle="1" w:styleId="TitleChar">
    <w:name w:val="Title Char"/>
    <w:basedOn w:val="DefaultParagraphFont"/>
    <w:link w:val="Title"/>
    <w:uiPriority w:val="1"/>
    <w:rsid w:val="008615BE"/>
    <w:rPr>
      <w:rFonts w:ascii="Arial" w:eastAsia="Arial" w:hAnsi="Arial" w:cs="Arial"/>
      <w:b/>
      <w:bCs/>
      <w:kern w:val="0"/>
      <w:sz w:val="32"/>
      <w:szCs w:val="32"/>
      <w:lang w:val="fr-CA"/>
      <w14:ligatures w14:val="none"/>
    </w:rPr>
  </w:style>
  <w:style w:type="paragraph" w:customStyle="1" w:styleId="TableParagraph">
    <w:name w:val="Table Paragraph"/>
    <w:basedOn w:val="Normal"/>
    <w:uiPriority w:val="1"/>
    <w:qFormat/>
    <w:rsid w:val="008615BE"/>
    <w:pPr>
      <w:overflowPunct w:val="0"/>
      <w:autoSpaceDE w:val="0"/>
      <w:autoSpaceDN w:val="0"/>
      <w:adjustRightInd w:val="0"/>
      <w:spacing w:after="120" w:line="240" w:lineRule="exact"/>
      <w:ind w:left="101"/>
      <w:textAlignment w:val="baseline"/>
    </w:pPr>
    <w:rPr>
      <w:rFonts w:ascii="Times New Roman" w:eastAsia="Times New Roman" w:hAnsi="Times New Roman" w:cs="Times New Roman"/>
      <w:kern w:val="0"/>
      <w:sz w:val="20"/>
      <w:szCs w:val="20"/>
      <w:u w:val="single" w:color="000000"/>
      <w:lang w:val="fr-CA"/>
      <w14:ligatures w14:val="none"/>
    </w:rPr>
  </w:style>
  <w:style w:type="paragraph" w:customStyle="1" w:styleId="Heading-2left">
    <w:name w:val="Heading-2left"/>
    <w:basedOn w:val="Normal"/>
    <w:next w:val="Normal"/>
    <w:autoRedefine/>
    <w:rsid w:val="008615BE"/>
    <w:pPr>
      <w:overflowPunct w:val="0"/>
      <w:autoSpaceDE w:val="0"/>
      <w:autoSpaceDN w:val="0"/>
      <w:adjustRightInd w:val="0"/>
      <w:spacing w:before="240" w:after="120" w:line="240" w:lineRule="exact"/>
      <w:textAlignment w:val="baseline"/>
    </w:pPr>
    <w:rPr>
      <w:rFonts w:ascii="Arial" w:eastAsia="Times New Roman" w:hAnsi="Arial" w:cs="Times New Roman"/>
      <w:b/>
      <w:bCs/>
      <w:kern w:val="0"/>
      <w:sz w:val="24"/>
      <w:szCs w:val="20"/>
      <w:lang w:val="fr-CA"/>
      <w14:ligatures w14:val="none"/>
    </w:rPr>
  </w:style>
  <w:style w:type="paragraph" w:customStyle="1" w:styleId="Refbox">
    <w:name w:val="Ref.box"/>
    <w:basedOn w:val="Heading-2left"/>
    <w:rsid w:val="008615BE"/>
    <w:pPr>
      <w:spacing w:before="120" w:line="240" w:lineRule="auto"/>
    </w:pPr>
  </w:style>
  <w:style w:type="paragraph" w:customStyle="1" w:styleId="Heading-3">
    <w:name w:val="Heading-3"/>
    <w:basedOn w:val="Normal"/>
    <w:rsid w:val="008615BE"/>
    <w:pPr>
      <w:tabs>
        <w:tab w:val="left" w:pos="360"/>
        <w:tab w:val="left" w:pos="753"/>
      </w:tabs>
      <w:overflowPunct w:val="0"/>
      <w:autoSpaceDE w:val="0"/>
      <w:autoSpaceDN w:val="0"/>
      <w:adjustRightInd w:val="0"/>
      <w:spacing w:after="120" w:line="240" w:lineRule="auto"/>
      <w:textAlignment w:val="baseline"/>
    </w:pPr>
    <w:rPr>
      <w:rFonts w:ascii="Times New Roman" w:eastAsia="Times New Roman" w:hAnsi="Times New Roman" w:cs="Arial"/>
      <w:b/>
      <w:kern w:val="0"/>
      <w:sz w:val="24"/>
      <w:szCs w:val="24"/>
      <w:lang w:val="fr-CA"/>
      <w14:ligatures w14:val="none"/>
    </w:rPr>
  </w:style>
  <w:style w:type="paragraph" w:customStyle="1" w:styleId="DateBottom">
    <w:name w:val="Date Bottom"/>
    <w:rsid w:val="008615BE"/>
    <w:pPr>
      <w:tabs>
        <w:tab w:val="right" w:pos="10176"/>
      </w:tabs>
      <w:spacing w:after="0" w:line="240" w:lineRule="auto"/>
    </w:pPr>
    <w:rPr>
      <w:rFonts w:ascii="Times New Roman" w:eastAsia="Times New Roman" w:hAnsi="Times New Roman" w:cs="Times New Roman"/>
      <w:kern w:val="0"/>
      <w:sz w:val="18"/>
      <w:szCs w:val="20"/>
      <w:lang w:val="fr-CA"/>
      <w14:ligatures w14:val="none"/>
    </w:rPr>
  </w:style>
  <w:style w:type="paragraph" w:customStyle="1" w:styleId="Date-Top">
    <w:name w:val="Date-Top"/>
    <w:basedOn w:val="Normal"/>
    <w:rsid w:val="008615BE"/>
    <w:pPr>
      <w:suppressAutoHyphens/>
      <w:overflowPunct w:val="0"/>
      <w:autoSpaceDE w:val="0"/>
      <w:autoSpaceDN w:val="0"/>
      <w:adjustRightInd w:val="0"/>
      <w:spacing w:after="0" w:line="240" w:lineRule="exact"/>
      <w:textAlignment w:val="baseline"/>
    </w:pPr>
    <w:rPr>
      <w:rFonts w:ascii="Times New Roman" w:eastAsia="Times New Roman" w:hAnsi="Times New Roman" w:cs="Times New Roman"/>
      <w:noProof/>
      <w:kern w:val="0"/>
      <w:sz w:val="20"/>
      <w:szCs w:val="20"/>
      <w:lang w:val="fr-CA"/>
      <w14:ligatures w14:val="none"/>
    </w:rPr>
  </w:style>
  <w:style w:type="paragraph" w:customStyle="1" w:styleId="App-title">
    <w:name w:val="App-title"/>
    <w:basedOn w:val="Heading-3"/>
    <w:autoRedefine/>
    <w:qFormat/>
    <w:rsid w:val="008615BE"/>
    <w:pPr>
      <w:jc w:val="center"/>
    </w:pPr>
  </w:style>
  <w:style w:type="paragraph" w:styleId="PlainText">
    <w:name w:val="Plain Text"/>
    <w:basedOn w:val="Normal"/>
    <w:link w:val="PlainTextChar"/>
    <w:uiPriority w:val="99"/>
    <w:semiHidden/>
    <w:rsid w:val="008615BE"/>
    <w:pPr>
      <w:overflowPunct w:val="0"/>
      <w:autoSpaceDE w:val="0"/>
      <w:autoSpaceDN w:val="0"/>
      <w:adjustRightInd w:val="0"/>
      <w:spacing w:after="0" w:line="240" w:lineRule="auto"/>
      <w:textAlignment w:val="baseline"/>
    </w:pPr>
    <w:rPr>
      <w:rFonts w:ascii="Consolas" w:eastAsia="Times New Roman" w:hAnsi="Consolas" w:cs="Consolas"/>
      <w:kern w:val="0"/>
      <w:sz w:val="21"/>
      <w:szCs w:val="21"/>
      <w:lang w:val="fr-CA"/>
      <w14:ligatures w14:val="none"/>
    </w:rPr>
  </w:style>
  <w:style w:type="character" w:customStyle="1" w:styleId="PlainTextChar">
    <w:name w:val="Plain Text Char"/>
    <w:basedOn w:val="DefaultParagraphFont"/>
    <w:link w:val="PlainText"/>
    <w:uiPriority w:val="99"/>
    <w:semiHidden/>
    <w:rsid w:val="008615BE"/>
    <w:rPr>
      <w:rFonts w:ascii="Consolas" w:eastAsia="Times New Roman" w:hAnsi="Consolas" w:cs="Consolas"/>
      <w:kern w:val="0"/>
      <w:sz w:val="21"/>
      <w:szCs w:val="21"/>
      <w:lang w:val="fr-CA"/>
      <w14:ligatures w14:val="none"/>
    </w:rPr>
  </w:style>
  <w:style w:type="paragraph" w:customStyle="1" w:styleId="FrameLine">
    <w:name w:val="Frame Line"/>
    <w:rsid w:val="008615BE"/>
    <w:pPr>
      <w:pBdr>
        <w:bottom w:val="single" w:sz="6" w:space="1" w:color="auto"/>
      </w:pBdr>
      <w:spacing w:before="60" w:after="120" w:line="240" w:lineRule="exact"/>
    </w:pPr>
    <w:rPr>
      <w:rFonts w:ascii="Times New Roman" w:eastAsia="Times New Roman" w:hAnsi="Times New Roman" w:cs="Times New Roman"/>
      <w:noProof/>
      <w:color w:val="000000" w:themeColor="text1"/>
      <w:kern w:val="0"/>
      <w:sz w:val="20"/>
      <w:szCs w:val="20"/>
      <w:lang w:val="fr-CA"/>
      <w14:ligatures w14:val="none"/>
    </w:rPr>
  </w:style>
  <w:style w:type="paragraph" w:customStyle="1" w:styleId="ind-1-text">
    <w:name w:val="ind-1-text"/>
    <w:basedOn w:val="Normal"/>
    <w:rsid w:val="008615BE"/>
    <w:pPr>
      <w:tabs>
        <w:tab w:val="left" w:pos="720"/>
      </w:tabs>
      <w:suppressAutoHyphens/>
      <w:overflowPunct w:val="0"/>
      <w:autoSpaceDE w:val="0"/>
      <w:autoSpaceDN w:val="0"/>
      <w:adjustRightInd w:val="0"/>
      <w:spacing w:after="120" w:line="240" w:lineRule="auto"/>
      <w:ind w:left="360"/>
      <w:textAlignment w:val="baseline"/>
    </w:pPr>
    <w:rPr>
      <w:rFonts w:ascii="Times New Roman" w:eastAsia="Times New Roman" w:hAnsi="Times New Roman" w:cs="Times New Roman"/>
      <w:kern w:val="0"/>
      <w:szCs w:val="20"/>
      <w:lang w:val="fr-CA"/>
      <w14:ligatures w14:val="none"/>
    </w:rPr>
  </w:style>
  <w:style w:type="paragraph" w:customStyle="1" w:styleId="ind-2-text">
    <w:name w:val="ind-2-text"/>
    <w:basedOn w:val="ind-1-text"/>
    <w:autoRedefine/>
    <w:rsid w:val="008615BE"/>
    <w:pPr>
      <w:tabs>
        <w:tab w:val="left" w:pos="1080"/>
      </w:tabs>
      <w:ind w:left="720"/>
    </w:pPr>
  </w:style>
  <w:style w:type="paragraph" w:customStyle="1" w:styleId="ind-3-text">
    <w:name w:val="ind-3-text"/>
    <w:basedOn w:val="ind-2-text"/>
    <w:rsid w:val="008615BE"/>
    <w:pPr>
      <w:tabs>
        <w:tab w:val="clear" w:pos="1080"/>
      </w:tabs>
      <w:ind w:left="0"/>
    </w:pPr>
  </w:style>
  <w:style w:type="paragraph" w:customStyle="1" w:styleId="IndentedText">
    <w:name w:val="Indented Text"/>
    <w:basedOn w:val="Normal"/>
    <w:semiHidden/>
    <w:locked/>
    <w:rsid w:val="008615BE"/>
    <w:pPr>
      <w:suppressAutoHyphens/>
      <w:overflowPunct w:val="0"/>
      <w:autoSpaceDE w:val="0"/>
      <w:autoSpaceDN w:val="0"/>
      <w:adjustRightInd w:val="0"/>
      <w:spacing w:after="120" w:line="240" w:lineRule="exact"/>
      <w:ind w:left="360"/>
      <w:textAlignment w:val="baseline"/>
    </w:pPr>
    <w:rPr>
      <w:rFonts w:ascii="Times New Roman" w:eastAsia="Times New Roman" w:hAnsi="Times New Roman" w:cs="Times New Roman"/>
      <w:kern w:val="0"/>
      <w:sz w:val="20"/>
      <w:szCs w:val="20"/>
      <w:lang w:val="fr-CA"/>
      <w14:ligatures w14:val="none"/>
    </w:rPr>
  </w:style>
  <w:style w:type="paragraph" w:customStyle="1" w:styleId="Outdent">
    <w:name w:val="Outdent"/>
    <w:basedOn w:val="Normal"/>
    <w:rsid w:val="008615BE"/>
    <w:pPr>
      <w:overflowPunct w:val="0"/>
      <w:autoSpaceDE w:val="0"/>
      <w:autoSpaceDN w:val="0"/>
      <w:adjustRightInd w:val="0"/>
      <w:spacing w:after="120" w:line="240" w:lineRule="exact"/>
      <w:ind w:left="360" w:hanging="360"/>
      <w:textAlignment w:val="baseline"/>
    </w:pPr>
    <w:rPr>
      <w:rFonts w:ascii="Times New Roman" w:eastAsia="Times New Roman" w:hAnsi="Times New Roman" w:cs="Times New Roman"/>
      <w:kern w:val="0"/>
      <w:szCs w:val="20"/>
      <w:lang w:val="fr-CA"/>
      <w14:ligatures w14:val="none"/>
    </w:rPr>
  </w:style>
  <w:style w:type="paragraph" w:customStyle="1" w:styleId="Ref-bottomnote">
    <w:name w:val="Ref-bottomnote"/>
    <w:semiHidden/>
    <w:rsid w:val="008615BE"/>
    <w:pPr>
      <w:overflowPunct w:val="0"/>
      <w:autoSpaceDE w:val="0"/>
      <w:autoSpaceDN w:val="0"/>
      <w:adjustRightInd w:val="0"/>
      <w:spacing w:after="240" w:line="240" w:lineRule="exact"/>
      <w:textAlignment w:val="baseline"/>
    </w:pPr>
    <w:rPr>
      <w:rFonts w:ascii="Times New Roman" w:eastAsia="Times New Roman" w:hAnsi="Times New Roman" w:cs="Times New Roman"/>
      <w:b/>
      <w:bCs/>
      <w:kern w:val="0"/>
      <w:sz w:val="18"/>
      <w:szCs w:val="20"/>
      <w:lang w:val="fr-CA"/>
      <w14:ligatures w14:val="none"/>
    </w:rPr>
  </w:style>
  <w:style w:type="paragraph" w:customStyle="1" w:styleId="Ref-Sub-title">
    <w:name w:val="Ref-Sub-title"/>
    <w:basedOn w:val="Normal"/>
    <w:semiHidden/>
    <w:locked/>
    <w:rsid w:val="008615BE"/>
    <w:pPr>
      <w:overflowPunct w:val="0"/>
      <w:autoSpaceDE w:val="0"/>
      <w:autoSpaceDN w:val="0"/>
      <w:adjustRightInd w:val="0"/>
      <w:spacing w:before="60" w:after="120" w:line="240" w:lineRule="exact"/>
      <w:ind w:left="120"/>
      <w:textAlignment w:val="baseline"/>
    </w:pPr>
    <w:rPr>
      <w:rFonts w:ascii="Times New Roman" w:eastAsia="Times New Roman" w:hAnsi="Times New Roman" w:cs="Times New Roman"/>
      <w:b/>
      <w:kern w:val="0"/>
      <w:sz w:val="18"/>
      <w:szCs w:val="20"/>
      <w:lang w:val="fr-CA"/>
      <w14:ligatures w14:val="none"/>
    </w:rPr>
  </w:style>
  <w:style w:type="paragraph" w:customStyle="1" w:styleId="Ref-Text">
    <w:name w:val="Ref-Text"/>
    <w:semiHidden/>
    <w:locked/>
    <w:rsid w:val="008615BE"/>
    <w:pPr>
      <w:spacing w:after="120" w:line="240" w:lineRule="exact"/>
      <w:ind w:left="240" w:right="120"/>
    </w:pPr>
    <w:rPr>
      <w:rFonts w:ascii="Times New Roman" w:eastAsia="Times New Roman" w:hAnsi="Times New Roman" w:cs="Times New Roman"/>
      <w:kern w:val="0"/>
      <w:sz w:val="18"/>
      <w:szCs w:val="20"/>
      <w:lang w:val="fr-CA"/>
      <w14:ligatures w14:val="none"/>
    </w:rPr>
  </w:style>
  <w:style w:type="paragraph" w:customStyle="1" w:styleId="Ref-Title">
    <w:name w:val="Ref-Title"/>
    <w:semiHidden/>
    <w:locked/>
    <w:rsid w:val="008615BE"/>
    <w:pPr>
      <w:tabs>
        <w:tab w:val="center" w:pos="6000"/>
      </w:tabs>
      <w:spacing w:after="240" w:line="240" w:lineRule="exact"/>
      <w:jc w:val="center"/>
    </w:pPr>
    <w:rPr>
      <w:rFonts w:ascii="Times New Roman" w:eastAsia="Times New Roman" w:hAnsi="Times New Roman" w:cs="Times New Roman"/>
      <w:b/>
      <w:kern w:val="0"/>
      <w:sz w:val="24"/>
      <w:szCs w:val="20"/>
      <w:lang w:val="fr-CA"/>
      <w14:ligatures w14:val="none"/>
    </w:rPr>
  </w:style>
  <w:style w:type="paragraph" w:customStyle="1" w:styleId="TextinTable">
    <w:name w:val="Text in Table"/>
    <w:semiHidden/>
    <w:locked/>
    <w:rsid w:val="008615BE"/>
    <w:pPr>
      <w:suppressAutoHyphens/>
      <w:spacing w:before="60" w:after="60" w:line="240" w:lineRule="auto"/>
      <w:ind w:left="60" w:right="60"/>
    </w:pPr>
    <w:rPr>
      <w:rFonts w:ascii="Times New Roman" w:eastAsia="Times New Roman" w:hAnsi="Times New Roman" w:cs="Times New Roman"/>
      <w:kern w:val="0"/>
      <w:sz w:val="20"/>
      <w:szCs w:val="20"/>
      <w:lang w:val="fr-CA"/>
      <w14:ligatures w14:val="none"/>
    </w:rPr>
  </w:style>
  <w:style w:type="paragraph" w:customStyle="1" w:styleId="TextTableBullet">
    <w:name w:val="Text Table Bullet"/>
    <w:semiHidden/>
    <w:locked/>
    <w:rsid w:val="008615BE"/>
    <w:pPr>
      <w:numPr>
        <w:numId w:val="2"/>
      </w:numPr>
      <w:tabs>
        <w:tab w:val="left" w:pos="300"/>
      </w:tabs>
      <w:spacing w:before="60" w:after="60" w:line="240" w:lineRule="auto"/>
      <w:ind w:right="60"/>
    </w:pPr>
    <w:rPr>
      <w:rFonts w:ascii="Times New Roman" w:eastAsia="Times New Roman" w:hAnsi="Times New Roman" w:cs="Times New Roman"/>
      <w:kern w:val="0"/>
      <w:sz w:val="20"/>
      <w:szCs w:val="20"/>
      <w:lang w:val="fr-CA"/>
      <w14:ligatures w14:val="none"/>
    </w:rPr>
  </w:style>
  <w:style w:type="paragraph" w:customStyle="1" w:styleId="Refboxtext">
    <w:name w:val="Ref.box text"/>
    <w:basedOn w:val="Normal"/>
    <w:rsid w:val="008615BE"/>
    <w:pPr>
      <w:tabs>
        <w:tab w:val="left" w:pos="360"/>
        <w:tab w:val="left" w:pos="753"/>
      </w:tabs>
      <w:overflowPunct w:val="0"/>
      <w:autoSpaceDE w:val="0"/>
      <w:autoSpaceDN w:val="0"/>
      <w:adjustRightInd w:val="0"/>
      <w:spacing w:before="120" w:after="120" w:line="240" w:lineRule="auto"/>
      <w:textAlignment w:val="baseline"/>
    </w:pPr>
    <w:rPr>
      <w:rFonts w:ascii="Times New Roman" w:eastAsia="Times New Roman" w:hAnsi="Times New Roman" w:cs="Arial"/>
      <w:kern w:val="0"/>
      <w:szCs w:val="24"/>
      <w:lang w:val="fr-CA"/>
      <w14:ligatures w14:val="none"/>
    </w:rPr>
  </w:style>
  <w:style w:type="paragraph" w:customStyle="1" w:styleId="Title-Center">
    <w:name w:val="Title-Center"/>
    <w:basedOn w:val="Normal"/>
    <w:semiHidden/>
    <w:locked/>
    <w:rsid w:val="008615BE"/>
    <w:pPr>
      <w:keepNext/>
      <w:keepLines/>
      <w:tabs>
        <w:tab w:val="left" w:pos="360"/>
        <w:tab w:val="left" w:pos="720"/>
        <w:tab w:val="left" w:pos="1080"/>
      </w:tabs>
      <w:suppressAutoHyphens/>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noProof/>
      <w:kern w:val="0"/>
      <w:sz w:val="20"/>
      <w:szCs w:val="20"/>
      <w:lang w:val="fr-CA"/>
      <w14:ligatures w14:val="none"/>
    </w:rPr>
  </w:style>
  <w:style w:type="paragraph" w:customStyle="1" w:styleId="maintitle">
    <w:name w:val="main title"/>
    <w:basedOn w:val="ind-mar-text"/>
    <w:rsid w:val="008615BE"/>
    <w:pPr>
      <w:tabs>
        <w:tab w:val="clear" w:pos="360"/>
        <w:tab w:val="left" w:pos="426"/>
      </w:tabs>
      <w:spacing w:line="280" w:lineRule="exact"/>
    </w:pPr>
    <w:rPr>
      <w:b/>
      <w:sz w:val="28"/>
      <w:szCs w:val="28"/>
    </w:rPr>
  </w:style>
  <w:style w:type="paragraph" w:customStyle="1" w:styleId="Heading-1">
    <w:name w:val="Heading-1"/>
    <w:basedOn w:val="Normal"/>
    <w:rsid w:val="008615BE"/>
    <w:pPr>
      <w:overflowPunct w:val="0"/>
      <w:autoSpaceDE w:val="0"/>
      <w:autoSpaceDN w:val="0"/>
      <w:adjustRightInd w:val="0"/>
      <w:spacing w:before="120" w:after="240" w:line="240" w:lineRule="auto"/>
      <w:jc w:val="center"/>
      <w:textAlignment w:val="baseline"/>
    </w:pPr>
    <w:rPr>
      <w:rFonts w:ascii="Arial" w:eastAsia="Times New Roman" w:hAnsi="Arial" w:cs="Arial"/>
      <w:b/>
      <w:color w:val="0000B4"/>
      <w:kern w:val="0"/>
      <w:sz w:val="32"/>
      <w:szCs w:val="32"/>
      <w:lang w:val="fr-CA"/>
      <w14:ligatures w14:val="none"/>
    </w:rPr>
  </w:style>
  <w:style w:type="paragraph" w:customStyle="1" w:styleId="Dmemo-numberText1">
    <w:name w:val="Dmemo-number + Text 1"/>
    <w:basedOn w:val="Normal"/>
    <w:rsid w:val="008615BE"/>
    <w:pPr>
      <w:spacing w:after="240" w:line="240" w:lineRule="auto"/>
      <w:jc w:val="right"/>
    </w:pPr>
    <w:rPr>
      <w:rFonts w:ascii="Arial" w:eastAsia="Times New Roman" w:hAnsi="Arial" w:cs="Times New Roman"/>
      <w:color w:val="0000B4"/>
      <w:kern w:val="0"/>
      <w:sz w:val="48"/>
      <w:szCs w:val="20"/>
      <w:lang w:val="fr-CA"/>
      <w14:ligatures w14:val="none"/>
    </w:rPr>
  </w:style>
  <w:style w:type="paragraph" w:customStyle="1" w:styleId="Dmemo-number">
    <w:name w:val="Dmemo-number"/>
    <w:rsid w:val="008615BE"/>
    <w:pPr>
      <w:spacing w:after="0" w:line="240" w:lineRule="auto"/>
      <w:jc w:val="right"/>
    </w:pPr>
    <w:rPr>
      <w:rFonts w:ascii="Arial" w:eastAsia="Times New Roman" w:hAnsi="Arial" w:cs="Times New Roman"/>
      <w:color w:val="0000B4"/>
      <w:kern w:val="0"/>
      <w:sz w:val="48"/>
      <w:szCs w:val="20"/>
      <w:lang w:val="fr-CA"/>
      <w14:ligatures w14:val="none"/>
    </w:rPr>
  </w:style>
  <w:style w:type="paragraph" w:customStyle="1" w:styleId="compress">
    <w:name w:val="compress"/>
    <w:basedOn w:val="Normal"/>
    <w:rsid w:val="008615BE"/>
    <w:pPr>
      <w:spacing w:after="0" w:line="240" w:lineRule="auto"/>
    </w:pPr>
    <w:rPr>
      <w:rFonts w:ascii="Verdana" w:eastAsia="Times New Roman" w:hAnsi="Verdana" w:cs="Times New Roman"/>
      <w:kern w:val="0"/>
      <w:sz w:val="24"/>
      <w:szCs w:val="24"/>
      <w:lang w:val="fr-CA" w:eastAsia="en-CA"/>
      <w14:ligatures w14:val="none"/>
    </w:rPr>
  </w:style>
  <w:style w:type="paragraph" w:customStyle="1" w:styleId="subparagraph">
    <w:name w:val="subparagraph"/>
    <w:basedOn w:val="Normal"/>
    <w:rsid w:val="008615BE"/>
    <w:pPr>
      <w:spacing w:before="168" w:after="120" w:line="240" w:lineRule="auto"/>
      <w:ind w:left="720"/>
    </w:pPr>
    <w:rPr>
      <w:rFonts w:ascii="Times New Roman" w:eastAsia="Times New Roman" w:hAnsi="Times New Roman" w:cs="Times New Roman"/>
      <w:kern w:val="0"/>
      <w:sz w:val="24"/>
      <w:szCs w:val="24"/>
      <w:lang w:val="fr-CA" w:eastAsia="en-CA"/>
      <w14:ligatures w14:val="none"/>
    </w:rPr>
  </w:style>
  <w:style w:type="character" w:customStyle="1" w:styleId="lawlabel">
    <w:name w:val="lawlabel"/>
    <w:rsid w:val="008615BE"/>
    <w:rPr>
      <w:b/>
      <w:bCs/>
      <w:color w:val="000000"/>
    </w:rPr>
  </w:style>
  <w:style w:type="paragraph" w:customStyle="1" w:styleId="sep">
    <w:name w:val="sep"/>
    <w:basedOn w:val="Normal"/>
    <w:rsid w:val="008615BE"/>
    <w:pPr>
      <w:spacing w:before="100" w:beforeAutospacing="1" w:after="100" w:afterAutospacing="1" w:line="240" w:lineRule="auto"/>
    </w:pPr>
    <w:rPr>
      <w:rFonts w:ascii="Verdana" w:eastAsia="Times New Roman" w:hAnsi="Verdana" w:cs="Times New Roman"/>
      <w:kern w:val="0"/>
      <w:sz w:val="24"/>
      <w:szCs w:val="24"/>
      <w:lang w:val="fr-CA" w:eastAsia="en-CA"/>
      <w14:ligatures w14:val="none"/>
    </w:rPr>
  </w:style>
  <w:style w:type="character" w:styleId="FollowedHyperlink">
    <w:name w:val="FollowedHyperlink"/>
    <w:basedOn w:val="DefaultParagraphFont"/>
    <w:semiHidden/>
    <w:unhideWhenUsed/>
    <w:rsid w:val="008615BE"/>
    <w:rPr>
      <w:color w:val="954F72" w:themeColor="followedHyperlink"/>
      <w:u w:val="single"/>
    </w:rPr>
  </w:style>
  <w:style w:type="paragraph" w:customStyle="1" w:styleId="subsection">
    <w:name w:val="subsection"/>
    <w:basedOn w:val="Normal"/>
    <w:rsid w:val="008615BE"/>
    <w:pPr>
      <w:spacing w:before="168" w:after="120" w:line="240" w:lineRule="auto"/>
      <w:ind w:firstLine="360"/>
    </w:pPr>
    <w:rPr>
      <w:rFonts w:ascii="Times New Roman" w:hAnsi="Times New Roman" w:cs="Times New Roman"/>
      <w:kern w:val="0"/>
      <w:sz w:val="24"/>
      <w:szCs w:val="24"/>
      <w:lang w:val="fr-CA" w:eastAsia="en-CA"/>
      <w14:ligatures w14:val="none"/>
    </w:rPr>
  </w:style>
  <w:style w:type="character" w:styleId="HTMLCite">
    <w:name w:val="HTML Cite"/>
    <w:basedOn w:val="DefaultParagraphFont"/>
    <w:uiPriority w:val="99"/>
    <w:semiHidden/>
    <w:unhideWhenUsed/>
    <w:rsid w:val="008615BE"/>
    <w:rPr>
      <w:i/>
      <w:iCs/>
    </w:rPr>
  </w:style>
  <w:style w:type="paragraph" w:styleId="Revision">
    <w:name w:val="Revision"/>
    <w:hidden/>
    <w:uiPriority w:val="99"/>
    <w:semiHidden/>
    <w:rsid w:val="008615BE"/>
    <w:pPr>
      <w:spacing w:after="0" w:line="240" w:lineRule="auto"/>
    </w:pPr>
    <w:rPr>
      <w:rFonts w:ascii="Times New Roman" w:eastAsia="Times New Roma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semiHidden/>
    <w:unhideWhenUsed/>
    <w:rsid w:val="008615BE"/>
    <w:pPr>
      <w:overflowPunct w:val="0"/>
      <w:autoSpaceDE w:val="0"/>
      <w:autoSpaceDN w:val="0"/>
      <w:adjustRightInd w:val="0"/>
      <w:spacing w:after="120"/>
      <w:textAlignment w:val="baseline"/>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8615BE"/>
    <w:rPr>
      <w:rFonts w:ascii="Times New Roman" w:eastAsia="Times New Roman" w:hAnsi="Times New Roman" w:cs="Times New Roman"/>
      <w:b/>
      <w:bCs/>
      <w:kern w:val="0"/>
      <w:sz w:val="20"/>
      <w:szCs w:val="20"/>
      <w:lang w:val="fr-CA"/>
      <w14:ligatures w14:val="none"/>
    </w:rPr>
  </w:style>
  <w:style w:type="paragraph" w:customStyle="1" w:styleId="mrgn-lft-lg">
    <w:name w:val="mrgn-lft-lg"/>
    <w:basedOn w:val="Normal"/>
    <w:uiPriority w:val="99"/>
    <w:semiHidden/>
    <w:rsid w:val="008615BE"/>
    <w:pPr>
      <w:spacing w:before="100" w:beforeAutospacing="1" w:after="100" w:afterAutospacing="1" w:line="240" w:lineRule="auto"/>
    </w:pPr>
    <w:rPr>
      <w:rFonts w:ascii="Times New Roman" w:eastAsia="Times New Roman" w:hAnsi="Times New Roman" w:cs="Times New Roman"/>
      <w:kern w:val="0"/>
      <w:sz w:val="24"/>
      <w:szCs w:val="24"/>
      <w:lang w:val="fr-CA" w:eastAsia="en-CA"/>
      <w14:ligatures w14:val="none"/>
    </w:rPr>
  </w:style>
  <w:style w:type="paragraph" w:customStyle="1" w:styleId="Default">
    <w:name w:val="Default"/>
    <w:rsid w:val="008615BE"/>
    <w:pPr>
      <w:autoSpaceDE w:val="0"/>
      <w:autoSpaceDN w:val="0"/>
      <w:adjustRightInd w:val="0"/>
      <w:spacing w:after="0" w:line="240" w:lineRule="auto"/>
    </w:pPr>
    <w:rPr>
      <w:rFonts w:ascii="Calibri" w:eastAsia="Times New Roman" w:hAnsi="Calibri" w:cs="Calibri"/>
      <w:color w:val="000000"/>
      <w:kern w:val="0"/>
      <w:sz w:val="24"/>
      <w:szCs w:val="24"/>
      <w:lang w:val="fr-CA" w:eastAsia="en-CA"/>
      <w14:ligatures w14:val="none"/>
    </w:rPr>
  </w:style>
  <w:style w:type="character" w:customStyle="1" w:styleId="sectionlabel">
    <w:name w:val="sectionlabel"/>
    <w:basedOn w:val="DefaultParagraphFont"/>
    <w:rsid w:val="008615BE"/>
  </w:style>
  <w:style w:type="paragraph" w:customStyle="1" w:styleId="paragraph">
    <w:name w:val="paragraph"/>
    <w:basedOn w:val="Normal"/>
    <w:rsid w:val="008615BE"/>
    <w:pPr>
      <w:spacing w:before="100" w:beforeAutospacing="1" w:after="100" w:afterAutospacing="1" w:line="240" w:lineRule="auto"/>
    </w:pPr>
    <w:rPr>
      <w:rFonts w:ascii="Times New Roman" w:eastAsia="Times New Roman" w:hAnsi="Times New Roman" w:cs="Times New Roman"/>
      <w:kern w:val="0"/>
      <w:sz w:val="24"/>
      <w:szCs w:val="24"/>
      <w:lang w:val="fr-CA" w:eastAsia="en-CA"/>
      <w14:ligatures w14:val="none"/>
    </w:rPr>
  </w:style>
  <w:style w:type="character" w:customStyle="1" w:styleId="Char">
    <w:name w:val="普通(网站) Char"/>
    <w:aliases w:val="普通 (Web) Char,普通(Web) Char"/>
    <w:basedOn w:val="DefaultParagraphFont"/>
    <w:link w:val="wordsection1"/>
    <w:uiPriority w:val="99"/>
    <w:locked/>
    <w:rsid w:val="008615BE"/>
    <w:rPr>
      <w:rFonts w:ascii="Calibri" w:hAnsi="Calibri" w:cs="Calibri"/>
    </w:rPr>
  </w:style>
  <w:style w:type="paragraph" w:customStyle="1" w:styleId="wordsection1">
    <w:name w:val="wordsection1"/>
    <w:basedOn w:val="Normal"/>
    <w:link w:val="Char"/>
    <w:uiPriority w:val="99"/>
    <w:rsid w:val="008615BE"/>
    <w:pPr>
      <w:spacing w:before="100" w:beforeAutospacing="1" w:after="100" w:afterAutospacing="1" w:line="240" w:lineRule="auto"/>
    </w:pPr>
    <w:rPr>
      <w:rFonts w:ascii="Calibri" w:hAnsi="Calibri" w:cs="Calibri"/>
    </w:rPr>
  </w:style>
  <w:style w:type="character" w:customStyle="1" w:styleId="fontstyle01">
    <w:name w:val="fontstyle01"/>
    <w:basedOn w:val="DefaultParagraphFont"/>
    <w:rsid w:val="008615B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8615BE"/>
    <w:rPr>
      <w:rFonts w:ascii="ArialMT" w:hAnsi="ArialMT" w:hint="default"/>
      <w:b w:val="0"/>
      <w:bCs w:val="0"/>
      <w:i w:val="0"/>
      <w:iCs w:val="0"/>
      <w:color w:val="000000"/>
      <w:sz w:val="14"/>
      <w:szCs w:val="14"/>
    </w:rPr>
  </w:style>
  <w:style w:type="character" w:styleId="UnresolvedMention">
    <w:name w:val="Unresolved Mention"/>
    <w:basedOn w:val="DefaultParagraphFont"/>
    <w:uiPriority w:val="99"/>
    <w:semiHidden/>
    <w:unhideWhenUsed/>
    <w:rsid w:val="00861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bsa-asfc.gc.ca/publications/forms-formulaires/a8a-b.pdf" TargetMode="External"/><Relationship Id="rId21" Type="http://schemas.openxmlformats.org/officeDocument/2006/relationships/hyperlink" Target="https://laws-lois.justice.gc.ca/fra/reglements/DORS-86-873/" TargetMode="External"/><Relationship Id="rId42" Type="http://schemas.openxmlformats.org/officeDocument/2006/relationships/hyperlink" Target="https://laws-lois.justice.gc.ca/fra/lois/e-19/" TargetMode="External"/><Relationship Id="rId47" Type="http://schemas.openxmlformats.org/officeDocument/2006/relationships/hyperlink" Target="https://www.cbsa-asfc.gc.ca/publications/dm-md/d23/d23-2-1-fra.html" TargetMode="External"/><Relationship Id="rId63" Type="http://schemas.openxmlformats.org/officeDocument/2006/relationships/hyperlink" Target="https://www.laws-lois.justice.gc.ca/fra/reglements/DORS-2024-42/" TargetMode="External"/><Relationship Id="rId68" Type="http://schemas.openxmlformats.org/officeDocument/2006/relationships/hyperlink" Target="https://www.cbsa-asfc.gc.ca/publications/dm-md/d19/d19-13-2-fra.html"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lois.justice.gc.ca/fra/reglements/DORS-2024-42/TexteComplet.html" TargetMode="External"/><Relationship Id="rId11" Type="http://schemas.openxmlformats.org/officeDocument/2006/relationships/hyperlink" Target="https://laws-lois.justice.gc.ca/fra/reglements/DORS-86-1065/page-1.html" TargetMode="External"/><Relationship Id="rId32" Type="http://schemas.openxmlformats.org/officeDocument/2006/relationships/hyperlink" Target="https://www.cbsa-asfc.gc.ca/publications/dm-md/d17/d17-1-21-fra.html" TargetMode="External"/><Relationship Id="rId37" Type="http://schemas.openxmlformats.org/officeDocument/2006/relationships/hyperlink" Target="https://laws-lois.justice.gc.ca/fra/reglements/DORS-98-210/TexteComplet.html" TargetMode="External"/><Relationship Id="rId53" Type="http://schemas.openxmlformats.org/officeDocument/2006/relationships/hyperlink" Target="https://laws-lois.justice.gc.ca/fra/lois/c-46/" TargetMode="External"/><Relationship Id="rId58" Type="http://schemas.openxmlformats.org/officeDocument/2006/relationships/hyperlink" Target="https://laws-lois.justice.gc.ca/fra/reglements/DORS-86-1065/index.html" TargetMode="External"/><Relationship Id="rId74" Type="http://schemas.openxmlformats.org/officeDocument/2006/relationships/hyperlink" Target="https://www.cbsa-asfc.gc.ca/publications/dm-md/d4/d4-1-4-fra.html" TargetMode="External"/><Relationship Id="rId79" Type="http://schemas.openxmlformats.org/officeDocument/2006/relationships/hyperlink" Target="https://www.cbsa-asfc.gc.ca/eservices/eccrd-fra.html"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grc.ca/fr/casiers-judiciaires/verification-casier-judiciaire" TargetMode="External"/><Relationship Id="rId22" Type="http://schemas.openxmlformats.org/officeDocument/2006/relationships/hyperlink" Target="https://www.cbsa-asfc.gc.ca/eservices/menu-fra.html" TargetMode="External"/><Relationship Id="rId27" Type="http://schemas.openxmlformats.org/officeDocument/2006/relationships/hyperlink" Target="https://www.cbsa-asfc.gc.ca/publications/dm-md/d3/d3-3-1-fra.html" TargetMode="External"/><Relationship Id="rId30" Type="http://schemas.openxmlformats.org/officeDocument/2006/relationships/hyperlink" Target="https://www.cbsa-asfc.gc.ca/publications/forms-formulaires/a10.pdf" TargetMode="External"/><Relationship Id="rId35" Type="http://schemas.openxmlformats.org/officeDocument/2006/relationships/hyperlink" Target="https://laws-lois.justice.gc.ca/fra/lois/f-11.6/" TargetMode="External"/><Relationship Id="rId43" Type="http://schemas.openxmlformats.org/officeDocument/2006/relationships/hyperlink" Target="https://laws-lois.justice.gc.ca/fra/lois/n-28.3/TexteComplet.html" TargetMode="External"/><Relationship Id="rId48" Type="http://schemas.openxmlformats.org/officeDocument/2006/relationships/hyperlink" Target="https://www.cbsa-asfc.gc.ca/publications/dm-md/d22/d22-1-1-fra.html" TargetMode="External"/><Relationship Id="rId56" Type="http://schemas.openxmlformats.org/officeDocument/2006/relationships/hyperlink" Target="https://laws-lois.justice.gc.ca/fra/lois/n-28.3/" TargetMode="External"/><Relationship Id="rId64" Type="http://schemas.openxmlformats.org/officeDocument/2006/relationships/hyperlink" Target="https://www.cbsa-asfc.gc.ca/publications/dm-md/d1/d1-7-1-fra.html" TargetMode="External"/><Relationship Id="rId69" Type="http://schemas.openxmlformats.org/officeDocument/2006/relationships/hyperlink" Target="https://www.cbsa-asfc.gc.ca/publications/dm-md/d4/d4-1-5-fra.html" TargetMode="External"/><Relationship Id="rId77" Type="http://schemas.openxmlformats.org/officeDocument/2006/relationships/hyperlink" Target="https://www.cbsa-asfc.gc.ca/services/carm-gcra/menu-fra.html" TargetMode="External"/><Relationship Id="rId8" Type="http://schemas.openxmlformats.org/officeDocument/2006/relationships/hyperlink" Target="https://laws.justice.gc.ca/fra/lois/e-14.1/page-2.html" TargetMode="External"/><Relationship Id="rId51" Type="http://schemas.openxmlformats.org/officeDocument/2006/relationships/hyperlink" Target="https://laws-lois.justice.gc.ca/fra/lois/e-19/" TargetMode="External"/><Relationship Id="rId72" Type="http://schemas.openxmlformats.org/officeDocument/2006/relationships/hyperlink" Target="https://www.cbsa-asfc.gc.ca/publications/dm-md/d23/d23-2-1-fra.html" TargetMode="External"/><Relationship Id="rId80" Type="http://schemas.openxmlformats.org/officeDocument/2006/relationships/hyperlink" Target="https://www.cbsa-asfc.gc.ca/publications/forms-formulaires/a10.pdf"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cbsa-asfc.gc.ca/services/carm-gcra/menu-fra.html" TargetMode="External"/><Relationship Id="rId17" Type="http://schemas.openxmlformats.org/officeDocument/2006/relationships/hyperlink" Target="https://www.cbsa-asfc.gc.ca/publications/dm-md/d1/d1-7-1-fra.html" TargetMode="External"/><Relationship Id="rId25" Type="http://schemas.openxmlformats.org/officeDocument/2006/relationships/hyperlink" Target="https://laws-lois.justice.gc.ca/fra/reglements/DORS-86-1011/page-1.html" TargetMode="External"/><Relationship Id="rId33" Type="http://schemas.openxmlformats.org/officeDocument/2006/relationships/hyperlink" Target="https://laws-lois.justice.gc.ca/fra/lois/e-14.1/" TargetMode="External"/><Relationship Id="rId38" Type="http://schemas.openxmlformats.org/officeDocument/2006/relationships/hyperlink" Target="https://www.cbsa-asfc.gc.ca/publications/dm-md/d19/d19-13-2-fra.html" TargetMode="External"/><Relationship Id="rId46" Type="http://schemas.openxmlformats.org/officeDocument/2006/relationships/hyperlink" Target="https://www.cbsa-asfc.gc.ca/publications/dm-md/d4/d4-1-7-fra.html" TargetMode="External"/><Relationship Id="rId59" Type="http://schemas.openxmlformats.org/officeDocument/2006/relationships/hyperlink" Target="https://laws-lois.justice.gc.ca/fra/reglements/DORS-86-991/index.html" TargetMode="External"/><Relationship Id="rId67" Type="http://schemas.openxmlformats.org/officeDocument/2006/relationships/hyperlink" Target="https://www.cbsa-asfc.gc.ca/publications/dm-md/d17/d17-1-21-fra.html" TargetMode="External"/><Relationship Id="rId20" Type="http://schemas.openxmlformats.org/officeDocument/2006/relationships/hyperlink" Target="https://www.cbsa-asfc.gc.ca/import/codes/sw-ea-fra.html" TargetMode="External"/><Relationship Id="rId41" Type="http://schemas.openxmlformats.org/officeDocument/2006/relationships/hyperlink" Target="https://laws-lois.justice.gc.ca/fra/lois/f-11.6/" TargetMode="External"/><Relationship Id="rId54" Type="http://schemas.openxmlformats.org/officeDocument/2006/relationships/hyperlink" Target="https://laws-lois.justice.gc.ca/fra/lois/c-54.011/page-1.html" TargetMode="External"/><Relationship Id="rId62" Type="http://schemas.openxmlformats.org/officeDocument/2006/relationships/hyperlink" Target="https://laws-lois.justice.gc.ca/fra/reglements/DORS-86-1064/index.html" TargetMode="External"/><Relationship Id="rId70" Type="http://schemas.openxmlformats.org/officeDocument/2006/relationships/hyperlink" Target="https://www.cbsa-asfc.gc.ca/publications/dm-md/d4/d4-1-7-fra.html" TargetMode="External"/><Relationship Id="rId75" Type="http://schemas.openxmlformats.org/officeDocument/2006/relationships/hyperlink" Target="https://contact.cbsa-asfc.cloud-nuage.canada.ca/csform-formulaire?lang=fr_CA"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aws-lois.justice.gc.ca/fra/reglements/DORS-86-1065/page-2.html" TargetMode="External"/><Relationship Id="rId23" Type="http://schemas.openxmlformats.org/officeDocument/2006/relationships/hyperlink" Target="https://www.cbsa-asfc.gc.ca/eservices/menu-fra.html" TargetMode="External"/><Relationship Id="rId28" Type="http://schemas.openxmlformats.org/officeDocument/2006/relationships/hyperlink" Target="https://www.cbsa-asfc.gc.ca/eservices/eccrd-fra.html" TargetMode="External"/><Relationship Id="rId36" Type="http://schemas.openxmlformats.org/officeDocument/2006/relationships/hyperlink" Target="https://grc.ca/fr/armes-feu" TargetMode="External"/><Relationship Id="rId49" Type="http://schemas.openxmlformats.org/officeDocument/2006/relationships/hyperlink" Target="https://www.cbsa-asfc.gc.ca/trade-commerce/amps/mpd-dmi-fra.html" TargetMode="External"/><Relationship Id="rId57" Type="http://schemas.openxmlformats.org/officeDocument/2006/relationships/hyperlink" Target="https://laws-lois.justice.gc.ca/fra/reglements/DORS-2000-202/index.html" TargetMode="External"/><Relationship Id="rId10" Type="http://schemas.openxmlformats.org/officeDocument/2006/relationships/hyperlink" Target="https://laws-lois.justice.gc.ca/fra/lois/c-52.6/page-1.html" TargetMode="External"/><Relationship Id="rId31" Type="http://schemas.openxmlformats.org/officeDocument/2006/relationships/hyperlink" Target="https://www.cbsa-asfc.gc.ca/publications/dm-md/d3/d3-3-1-fra.html" TargetMode="External"/><Relationship Id="rId44" Type="http://schemas.openxmlformats.org/officeDocument/2006/relationships/hyperlink" Target="https://laws-lois.justice.gc.ca/fra/reglements/DORS-2000-202/index.html" TargetMode="External"/><Relationship Id="rId52" Type="http://schemas.openxmlformats.org/officeDocument/2006/relationships/hyperlink" Target="https://laws-lois.justice.gc.ca/fra/lois/f-11.6/" TargetMode="External"/><Relationship Id="rId60" Type="http://schemas.openxmlformats.org/officeDocument/2006/relationships/hyperlink" Target="https://laws-lois.justice.gc.ca/fra/reglements/DORS-98-210/TexteComplet.html" TargetMode="External"/><Relationship Id="rId65" Type="http://schemas.openxmlformats.org/officeDocument/2006/relationships/hyperlink" Target="https://www.cbsa-asfc.gc.ca/publications/dm-md/d1/d1-2-1-fra.html" TargetMode="External"/><Relationship Id="rId73" Type="http://schemas.openxmlformats.org/officeDocument/2006/relationships/hyperlink" Target="https://www.cbsa-asfc.gc.ca/publications/dm-md/d22/d22-1-1-fra.html" TargetMode="External"/><Relationship Id="rId78" Type="http://schemas.openxmlformats.org/officeDocument/2006/relationships/hyperlink" Target="https://www.cbsa-asfc.gc.ca/publications/forms-formulaires/a8a-b.pdf" TargetMode="External"/><Relationship Id="rId81" Type="http://schemas.openxmlformats.org/officeDocument/2006/relationships/hyperlink" Target="http://www.cbsa-asfc.gc.ca/trade-commerce/amps/mpd-dmi-fra.html" TargetMode="External"/><Relationship Id="rId86"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aws-lois.justice.gc.ca/fra/lois/c-52.6/page-6.html" TargetMode="External"/><Relationship Id="rId13" Type="http://schemas.openxmlformats.org/officeDocument/2006/relationships/hyperlink" Target="https://www.cbsa-asfc.gc.ca/publications/forms-formulaires/bsf897-fra.html" TargetMode="External"/><Relationship Id="rId18" Type="http://schemas.openxmlformats.org/officeDocument/2006/relationships/hyperlink" Target="https://ccp-pcc.cbsa-asfc.cloud-nuage.canada.ca/fr/onboarding-documentation" TargetMode="External"/><Relationship Id="rId39" Type="http://schemas.openxmlformats.org/officeDocument/2006/relationships/hyperlink" Target="https://laws-lois.justice.gc.ca/fra/lois/c-54.011/page-1.html" TargetMode="External"/><Relationship Id="rId34" Type="http://schemas.openxmlformats.org/officeDocument/2006/relationships/hyperlink" Target="https://laws-lois.justice.gc.ca/fra/lois/c-54.011/page-2.html" TargetMode="External"/><Relationship Id="rId50" Type="http://schemas.openxmlformats.org/officeDocument/2006/relationships/hyperlink" Target="https://laws-lois.justice.gc.ca/fra/lois/c-52.6/index.html" TargetMode="External"/><Relationship Id="rId55" Type="http://schemas.openxmlformats.org/officeDocument/2006/relationships/hyperlink" Target="https://laws-lois.justice.gc.ca/fra/lois/e-14.1/" TargetMode="External"/><Relationship Id="rId76" Type="http://schemas.openxmlformats.org/officeDocument/2006/relationships/hyperlink" Target="https://www.cbsa-asfc.gc.ca/publications/forms-formulaires/bsf897-fra.html" TargetMode="External"/><Relationship Id="rId7" Type="http://schemas.openxmlformats.org/officeDocument/2006/relationships/hyperlink" Target="https://laws-lois.justice.gc.ca/fra/lois/c-52.6/page-5.html" TargetMode="External"/><Relationship Id="rId71" Type="http://schemas.openxmlformats.org/officeDocument/2006/relationships/hyperlink" Target="https://www.cbsa-asfc.gc.ca/publications/dm-md/d3/d3-5-1-fra.html" TargetMode="External"/><Relationship Id="rId2" Type="http://schemas.openxmlformats.org/officeDocument/2006/relationships/styles" Target="styles.xml"/><Relationship Id="rId29" Type="http://schemas.openxmlformats.org/officeDocument/2006/relationships/hyperlink" Target="mailto:tccu-ustcc@cbsa-asfc.gc.ca" TargetMode="External"/><Relationship Id="rId24" Type="http://schemas.openxmlformats.org/officeDocument/2006/relationships/hyperlink" Target="mailto:tccu-ustcc@cbsa-asfc.gc.ca." TargetMode="External"/><Relationship Id="rId40" Type="http://schemas.openxmlformats.org/officeDocument/2006/relationships/hyperlink" Target="https://laws-lois.justice.gc.ca/fra/lois/c-46/" TargetMode="External"/><Relationship Id="rId45" Type="http://schemas.openxmlformats.org/officeDocument/2006/relationships/hyperlink" Target="https://www.cbsa-asfc.gc.ca/publications/dm-md/d4/d4-1-5-fra.html" TargetMode="External"/><Relationship Id="rId66" Type="http://schemas.openxmlformats.org/officeDocument/2006/relationships/hyperlink" Target="https://www.cbsa-asfc.gc.ca/publications/dm-md/d3/d3-1-1-fra.html" TargetMode="External"/><Relationship Id="rId87" Type="http://schemas.openxmlformats.org/officeDocument/2006/relationships/header" Target="header3.xml"/><Relationship Id="rId61" Type="http://schemas.openxmlformats.org/officeDocument/2006/relationships/hyperlink" Target="https://laws.justice.gc.ca/fra/reglements/DORS-86-1011/" TargetMode="External"/><Relationship Id="rId82" Type="http://schemas.openxmlformats.org/officeDocument/2006/relationships/hyperlink" Target="https://grc.ca/fr/casiers-judiciaires/verification-casier-judiciaire" TargetMode="External"/><Relationship Id="rId19" Type="http://schemas.openxmlformats.org/officeDocument/2006/relationships/hyperlink" Target="https://www.cbsa-asfc.gc.ca/publications/dm-md/d1/d1-2-1-fra.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253b65-9774-4e01-8e61-dcaccc9be209}" enabled="1" method="Standard" siteId="{bf06f9ba-7005-4119-86fc-96e4fcd96d6d}"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50</Pages>
  <Words>13934</Words>
  <Characters>79429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93177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Korim, Kelly (she/her/elle)</dc:creator>
  <cp:keywords/>
  <dc:description/>
  <cp:lastModifiedBy>Korim, Kelly (she/her/elle)</cp:lastModifiedBy>
  <cp:revision>4</cp:revision>
  <dcterms:created xsi:type="dcterms:W3CDTF">2026-03-18T18:21:00Z</dcterms:created>
  <dcterms:modified xsi:type="dcterms:W3CDTF">2026-03-18T18:35:00Z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2026-02-18T14:14:18Z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a56dd7cb-7dd9-4166-a5d6-31ed210201ef</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ies>
</file>